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7D3710">
      <w:pPr>
        <w:jc w:val="center"/>
        <w:rPr>
          <w:rFonts w:hint="eastAsia"/>
          <w:b/>
          <w:bCs/>
          <w:sz w:val="44"/>
          <w:szCs w:val="44"/>
        </w:rPr>
      </w:pPr>
      <w:r>
        <w:rPr>
          <w:rFonts w:hint="eastAsia"/>
          <w:b/>
          <w:bCs/>
          <w:sz w:val="44"/>
          <w:szCs w:val="44"/>
          <w:lang w:eastAsia="zh-CN"/>
        </w:rPr>
        <w:t>哈尔滨市轨道交通3号线二期安通街车辆基地不落轮镟床采购项目</w:t>
      </w:r>
      <w:r>
        <w:rPr>
          <w:rFonts w:hint="eastAsia"/>
          <w:b/>
          <w:bCs/>
          <w:sz w:val="44"/>
          <w:szCs w:val="44"/>
        </w:rPr>
        <w:t>询价公告</w:t>
      </w:r>
    </w:p>
    <w:p w14:paraId="5A305BCD">
      <w:pPr>
        <w:ind w:left="0" w:leftChars="0" w:firstLine="420" w:firstLineChars="0"/>
        <w:rPr>
          <w:rFonts w:hint="eastAsia"/>
          <w:sz w:val="30"/>
          <w:szCs w:val="30"/>
        </w:rPr>
      </w:pPr>
      <w:r>
        <w:rPr>
          <w:sz w:val="21"/>
        </w:rPr>
        <w:drawing>
          <wp:anchor distT="0" distB="0" distL="114300" distR="114300" simplePos="0" relativeHeight="251661312" behindDoc="1" locked="0" layoutInCell="1" allowOverlap="1">
            <wp:simplePos x="0" y="0"/>
            <wp:positionH relativeFrom="column">
              <wp:posOffset>-885190</wp:posOffset>
            </wp:positionH>
            <wp:positionV relativeFrom="paragraph">
              <wp:posOffset>-1658620</wp:posOffset>
            </wp:positionV>
            <wp:extent cx="7559040" cy="10770870"/>
            <wp:effectExtent l="0" t="0" r="0" b="3810"/>
            <wp:wrapNone/>
            <wp:docPr id="3" name="图片 3" descr="x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xx"/>
                    <pic:cNvPicPr>
                      <a:picLocks noChangeAspect="1"/>
                    </pic:cNvPicPr>
                  </pic:nvPicPr>
                  <pic:blipFill>
                    <a:blip r:embed="rId4"/>
                    <a:stretch>
                      <a:fillRect/>
                    </a:stretch>
                  </pic:blipFill>
                  <pic:spPr>
                    <a:xfrm>
                      <a:off x="0" y="0"/>
                      <a:ext cx="7559040" cy="10770870"/>
                    </a:xfrm>
                    <a:prstGeom prst="rect">
                      <a:avLst/>
                    </a:prstGeom>
                  </pic:spPr>
                </pic:pic>
              </a:graphicData>
            </a:graphic>
          </wp:anchor>
        </w:drawing>
      </w:r>
    </w:p>
    <w:p w14:paraId="3DC87C6F">
      <w:pPr>
        <w:ind w:left="0" w:leftChars="0" w:firstLine="420" w:firstLineChars="0"/>
        <w:rPr>
          <w:rFonts w:hint="eastAsia" w:ascii="仿宋" w:hAnsi="仿宋" w:eastAsia="仿宋" w:cs="仿宋"/>
          <w:sz w:val="30"/>
          <w:szCs w:val="30"/>
        </w:rPr>
      </w:pPr>
      <w:r>
        <w:rPr>
          <w:rFonts w:hint="eastAsia" w:ascii="仿宋" w:hAnsi="仿宋" w:eastAsia="仿宋" w:cs="仿宋"/>
          <w:sz w:val="30"/>
          <w:szCs w:val="30"/>
        </w:rPr>
        <w:t>为科学制定采购预算，保障后续公开招标的透明公正，旨在确保招标控制价科学合理、公平公正，保障招标活动顺利开展。现面向具备资质的生产厂家及供应商，就</w:t>
      </w:r>
      <w:r>
        <w:rPr>
          <w:rFonts w:hint="eastAsia" w:ascii="仿宋" w:hAnsi="仿宋" w:eastAsia="仿宋" w:cs="仿宋"/>
          <w:sz w:val="30"/>
          <w:szCs w:val="30"/>
          <w:lang w:eastAsia="zh-CN"/>
        </w:rPr>
        <w:t>哈尔滨市轨道交通3号线二期安通街车辆基地不落轮镟床采购项目</w:t>
      </w:r>
      <w:r>
        <w:rPr>
          <w:rFonts w:hint="eastAsia" w:ascii="仿宋" w:hAnsi="仿宋" w:eastAsia="仿宋" w:cs="仿宋"/>
          <w:sz w:val="30"/>
          <w:szCs w:val="30"/>
        </w:rPr>
        <w:t>项目开展询价工作，诚邀参与。</w:t>
      </w:r>
    </w:p>
    <w:p w14:paraId="4EB9EBF1">
      <w:pPr>
        <w:ind w:left="0" w:leftChars="0" w:firstLine="420" w:firstLineChars="0"/>
        <w:rPr>
          <w:rFonts w:hint="eastAsia" w:ascii="仿宋" w:hAnsi="仿宋" w:eastAsia="仿宋" w:cs="仿宋"/>
          <w:b/>
          <w:bCs/>
          <w:sz w:val="30"/>
          <w:szCs w:val="30"/>
        </w:rPr>
      </w:pPr>
      <w:r>
        <w:rPr>
          <w:rFonts w:hint="eastAsia" w:ascii="仿宋" w:hAnsi="仿宋" w:eastAsia="仿宋" w:cs="仿宋"/>
          <w:b/>
          <w:bCs/>
          <w:sz w:val="30"/>
          <w:szCs w:val="30"/>
        </w:rPr>
        <w:t>一、询价范围</w:t>
      </w:r>
    </w:p>
    <w:p w14:paraId="04345F2A">
      <w:pPr>
        <w:ind w:left="0" w:leftChars="0" w:firstLine="420" w:firstLineChars="0"/>
        <w:rPr>
          <w:rFonts w:hint="eastAsia" w:ascii="仿宋" w:hAnsi="仿宋" w:eastAsia="仿宋" w:cs="仿宋"/>
          <w:sz w:val="30"/>
          <w:szCs w:val="30"/>
        </w:rPr>
      </w:pPr>
      <w:r>
        <w:rPr>
          <w:rFonts w:hint="eastAsia" w:ascii="仿宋" w:hAnsi="仿宋" w:eastAsia="仿宋" w:cs="仿宋"/>
          <w:sz w:val="30"/>
          <w:szCs w:val="30"/>
        </w:rPr>
        <w:t>哈尔滨轨道交通3号线为环线，全长约37.6km，全线共设车站36座。3号线二期工程是3号线环线的一部分，在一期工程终点医大二院站向东延伸至一期起点城乡路站，线路正线全长约32km，共含车站31座，均为地下站；设一座车辆基地，为安通街车辆基地，位于香坊区，占地面积约32公顷。为满足3号线二期车辆轮对镟修需求，安通街车辆基地设计上含镟轮库及不落轮镟床设备，现阶段镟轮库已建设完成，此次拟招标采购不落轮镟床设备。</w:t>
      </w:r>
    </w:p>
    <w:p w14:paraId="66EF5A89">
      <w:pPr>
        <w:ind w:left="0" w:leftChars="0" w:firstLine="420" w:firstLineChars="0"/>
        <w:rPr>
          <w:rFonts w:hint="eastAsia" w:ascii="仿宋" w:hAnsi="仿宋" w:eastAsia="仿宋" w:cs="仿宋"/>
          <w:sz w:val="30"/>
          <w:szCs w:val="30"/>
        </w:rPr>
      </w:pPr>
      <w:r>
        <w:rPr>
          <w:rFonts w:hint="eastAsia" w:ascii="仿宋" w:hAnsi="仿宋" w:eastAsia="仿宋" w:cs="仿宋"/>
          <w:sz w:val="30"/>
          <w:szCs w:val="30"/>
        </w:rPr>
        <w:t>本次询价</w:t>
      </w:r>
      <w:r>
        <w:rPr>
          <w:rFonts w:hint="eastAsia" w:ascii="仿宋" w:hAnsi="仿宋" w:eastAsia="仿宋" w:cs="仿宋"/>
          <w:sz w:val="30"/>
          <w:szCs w:val="30"/>
          <w:lang w:val="en-US" w:eastAsia="zh-CN"/>
        </w:rPr>
        <w:t>为</w:t>
      </w:r>
      <w:r>
        <w:rPr>
          <w:rFonts w:hint="eastAsia" w:ascii="仿宋" w:hAnsi="仿宋" w:eastAsia="仿宋" w:cs="仿宋"/>
          <w:sz w:val="30"/>
          <w:szCs w:val="30"/>
          <w:lang w:eastAsia="zh-CN"/>
        </w:rPr>
        <w:t>哈尔滨市轨道交通3号线二期安通街车辆基地不落轮镟床采购项目</w:t>
      </w:r>
      <w:r>
        <w:rPr>
          <w:rFonts w:hint="eastAsia" w:ascii="仿宋" w:hAnsi="仿宋" w:eastAsia="仿宋" w:cs="仿宋"/>
          <w:sz w:val="30"/>
          <w:szCs w:val="30"/>
        </w:rPr>
        <w:t>，具体规格参数详见“设备”询（报）价单附件。</w:t>
      </w:r>
    </w:p>
    <w:p w14:paraId="4154085C">
      <w:pPr>
        <w:ind w:left="0" w:leftChars="0" w:firstLine="420" w:firstLineChars="0"/>
        <w:rPr>
          <w:rFonts w:hint="eastAsia" w:ascii="仿宋" w:hAnsi="仿宋" w:eastAsia="仿宋" w:cs="仿宋"/>
          <w:b/>
          <w:bCs/>
          <w:sz w:val="30"/>
          <w:szCs w:val="30"/>
        </w:rPr>
      </w:pPr>
      <w:r>
        <w:rPr>
          <w:rFonts w:hint="eastAsia" w:ascii="仿宋" w:hAnsi="仿宋" w:eastAsia="仿宋" w:cs="仿宋"/>
          <w:b/>
          <w:bCs/>
          <w:sz w:val="30"/>
          <w:szCs w:val="30"/>
        </w:rPr>
        <w:t>二、报价要求</w:t>
      </w:r>
    </w:p>
    <w:p w14:paraId="15307DF7">
      <w:pPr>
        <w:ind w:left="0" w:leftChars="0" w:firstLine="420" w:firstLineChars="0"/>
        <w:rPr>
          <w:rFonts w:hint="eastAsia" w:ascii="仿宋" w:hAnsi="仿宋" w:eastAsia="仿宋" w:cs="仿宋"/>
          <w:sz w:val="30"/>
          <w:szCs w:val="30"/>
        </w:rPr>
      </w:pPr>
      <w:r>
        <w:rPr>
          <w:rFonts w:hint="eastAsia" w:ascii="仿宋" w:hAnsi="仿宋" w:eastAsia="仿宋" w:cs="仿宋"/>
          <w:sz w:val="30"/>
          <w:szCs w:val="30"/>
        </w:rPr>
        <w:t>1.供应商须依据“设备”询（报）价单及附件的技术参数要求，准确填报产品规格、型号、单价、数量、总价及售后服务等信息（其它内容不允许修改）；</w:t>
      </w:r>
    </w:p>
    <w:p w14:paraId="4E2CE0EA">
      <w:pPr>
        <w:ind w:left="0" w:leftChars="0" w:firstLine="420" w:firstLineChars="0"/>
        <w:rPr>
          <w:rFonts w:hint="eastAsia" w:ascii="仿宋" w:hAnsi="仿宋" w:eastAsia="仿宋" w:cs="仿宋"/>
          <w:sz w:val="30"/>
          <w:szCs w:val="30"/>
        </w:rPr>
      </w:pPr>
      <w:r>
        <w:rPr>
          <w:rFonts w:hint="eastAsia" w:ascii="仿宋" w:hAnsi="仿宋" w:eastAsia="仿宋" w:cs="仿宋"/>
          <w:sz w:val="30"/>
          <w:szCs w:val="30"/>
        </w:rPr>
        <w:t>2.可同步提交企业资质证明、产品合格证书、近三年类似项目成功</w:t>
      </w:r>
      <w:r>
        <w:rPr>
          <w:sz w:val="21"/>
        </w:rPr>
        <w:drawing>
          <wp:anchor distT="0" distB="0" distL="114300" distR="114300" simplePos="0" relativeHeight="251660288" behindDoc="1" locked="0" layoutInCell="1" allowOverlap="1">
            <wp:simplePos x="0" y="0"/>
            <wp:positionH relativeFrom="column">
              <wp:posOffset>-885190</wp:posOffset>
            </wp:positionH>
            <wp:positionV relativeFrom="paragraph">
              <wp:posOffset>-866140</wp:posOffset>
            </wp:positionV>
            <wp:extent cx="7559040" cy="10770870"/>
            <wp:effectExtent l="0" t="0" r="0" b="3810"/>
            <wp:wrapNone/>
            <wp:docPr id="2" name="图片 2" descr="x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xx"/>
                    <pic:cNvPicPr>
                      <a:picLocks noChangeAspect="1"/>
                    </pic:cNvPicPr>
                  </pic:nvPicPr>
                  <pic:blipFill>
                    <a:blip r:embed="rId4"/>
                    <a:stretch>
                      <a:fillRect/>
                    </a:stretch>
                  </pic:blipFill>
                  <pic:spPr>
                    <a:xfrm>
                      <a:off x="0" y="0"/>
                      <a:ext cx="7559040" cy="10770870"/>
                    </a:xfrm>
                    <a:prstGeom prst="rect">
                      <a:avLst/>
                    </a:prstGeom>
                  </pic:spPr>
                </pic:pic>
              </a:graphicData>
            </a:graphic>
          </wp:anchor>
        </w:drawing>
      </w:r>
      <w:r>
        <w:rPr>
          <w:rFonts w:hint="eastAsia" w:ascii="仿宋" w:hAnsi="仿宋" w:eastAsia="仿宋" w:cs="仿宋"/>
          <w:sz w:val="30"/>
          <w:szCs w:val="30"/>
        </w:rPr>
        <w:t>案例，以佐证产品质量与服务能力；</w:t>
      </w:r>
    </w:p>
    <w:p w14:paraId="19498673">
      <w:pPr>
        <w:ind w:left="0" w:leftChars="0" w:firstLine="420" w:firstLineChars="0"/>
        <w:rPr>
          <w:rFonts w:hint="eastAsia" w:ascii="仿宋" w:hAnsi="仿宋" w:eastAsia="仿宋" w:cs="仿宋"/>
          <w:sz w:val="30"/>
          <w:szCs w:val="30"/>
        </w:rPr>
      </w:pPr>
      <w:r>
        <w:rPr>
          <w:rFonts w:hint="eastAsia" w:ascii="仿宋" w:hAnsi="仿宋" w:eastAsia="仿宋" w:cs="仿宋"/>
          <w:sz w:val="30"/>
          <w:szCs w:val="30"/>
        </w:rPr>
        <w:t>3.确保对设备参数要求充分理解，所供产品符合行业标准及项目实际需求。</w:t>
      </w:r>
    </w:p>
    <w:p w14:paraId="79BCBEAF">
      <w:pPr>
        <w:pStyle w:val="1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4.有效报价判定：参与报价，且报价文件符合询价文件中的各项参数及内容要求，未被认定为无效投标的报价，视为有效报价。</w:t>
      </w:r>
    </w:p>
    <w:p w14:paraId="4FBE4F4A">
      <w:pPr>
        <w:pStyle w:val="1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5.确定规则：当有效报价单位数量少于或等于五家时，以所有有效报价金额的算术平均值作为最终招标控制价。计算时，将各有效报价相加，所得总和除以有效报价单位数量，得出的结果即为最终招标控制价。​</w:t>
      </w:r>
    </w:p>
    <w:p w14:paraId="6D1C2819">
      <w:pPr>
        <w:pStyle w:val="1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当有效报价单位数量超过五家时，先剔除其中的最高报价和最低报价，再对剩余有效报价金额计算算术平均值，以此作为最终招标控制价。具体计算方法为，将剩余有效报价相加求和，再除以剩余有效报价单位数量，从而得到最终招标控制价。​</w:t>
      </w:r>
    </w:p>
    <w:p w14:paraId="10352517">
      <w:pPr>
        <w:pStyle w:val="1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6.特殊情况说明：若出现多个相同的最高报价或最低报价，均按相应规则全部剔除；在计算过程中，若出现除不尽的情况，结果保留两位小数，第三位小数按照四舍五入原则处理。​</w:t>
      </w:r>
    </w:p>
    <w:p w14:paraId="6AEA173C">
      <w:pPr>
        <w:ind w:left="0" w:leftChars="0" w:firstLine="420" w:firstLineChars="0"/>
        <w:rPr>
          <w:rFonts w:hint="eastAsia" w:ascii="仿宋" w:hAnsi="仿宋" w:eastAsia="仿宋" w:cs="仿宋"/>
          <w:b/>
          <w:bCs/>
          <w:sz w:val="30"/>
          <w:szCs w:val="30"/>
        </w:rPr>
      </w:pPr>
      <w:r>
        <w:rPr>
          <w:rFonts w:hint="eastAsia" w:ascii="仿宋" w:hAnsi="仿宋" w:eastAsia="仿宋" w:cs="仿宋"/>
          <w:b/>
          <w:bCs/>
          <w:sz w:val="30"/>
          <w:szCs w:val="30"/>
        </w:rPr>
        <w:t>三、报价发送方试</w:t>
      </w:r>
    </w:p>
    <w:p w14:paraId="37E48432">
      <w:pPr>
        <w:ind w:left="0" w:leftChars="0" w:firstLine="420" w:firstLineChars="0"/>
        <w:rPr>
          <w:rFonts w:hint="eastAsia" w:ascii="仿宋" w:hAnsi="仿宋" w:eastAsia="仿宋" w:cs="仿宋"/>
          <w:sz w:val="30"/>
          <w:szCs w:val="30"/>
        </w:rPr>
      </w:pPr>
      <w:r>
        <w:rPr>
          <w:rFonts w:hint="eastAsia" w:ascii="仿宋" w:hAnsi="仿宋" w:eastAsia="仿宋" w:cs="仿宋"/>
          <w:sz w:val="30"/>
          <w:szCs w:val="30"/>
        </w:rPr>
        <w:t>电子邮箱：</w:t>
      </w:r>
      <w:r>
        <w:rPr>
          <w:rFonts w:hint="eastAsia" w:ascii="仿宋" w:hAnsi="仿宋" w:eastAsia="仿宋" w:cs="仿宋"/>
          <w:sz w:val="30"/>
          <w:szCs w:val="30"/>
          <w:lang w:val="en-US" w:eastAsia="zh-CN"/>
        </w:rPr>
        <w:t>827059142</w:t>
      </w:r>
      <w:r>
        <w:rPr>
          <w:rFonts w:hint="eastAsia" w:ascii="仿宋" w:hAnsi="仿宋" w:eastAsia="仿宋" w:cs="仿宋"/>
          <w:sz w:val="30"/>
          <w:szCs w:val="30"/>
        </w:rPr>
        <w:t>@qq.com，联系人：</w:t>
      </w:r>
      <w:r>
        <w:rPr>
          <w:rFonts w:hint="eastAsia" w:ascii="仿宋" w:hAnsi="仿宋" w:eastAsia="仿宋" w:cs="仿宋"/>
          <w:sz w:val="30"/>
          <w:szCs w:val="30"/>
          <w:lang w:val="en-US" w:eastAsia="zh-CN"/>
        </w:rPr>
        <w:t>刘女士</w:t>
      </w:r>
      <w:r>
        <w:rPr>
          <w:rFonts w:hint="eastAsia" w:ascii="仿宋" w:hAnsi="仿宋" w:eastAsia="仿宋" w:cs="仿宋"/>
          <w:sz w:val="30"/>
          <w:szCs w:val="30"/>
        </w:rPr>
        <w:t>，联系电话：0451-82364693。</w:t>
      </w:r>
    </w:p>
    <w:p w14:paraId="6D8E6252">
      <w:pPr>
        <w:ind w:left="0" w:leftChars="0" w:firstLine="420" w:firstLineChars="0"/>
        <w:rPr>
          <w:rFonts w:hint="eastAsia" w:ascii="仿宋" w:hAnsi="仿宋" w:eastAsia="仿宋" w:cs="仿宋"/>
          <w:b/>
          <w:bCs/>
          <w:sz w:val="30"/>
          <w:szCs w:val="30"/>
        </w:rPr>
      </w:pPr>
      <w:r>
        <w:rPr>
          <w:rFonts w:hint="eastAsia" w:ascii="仿宋" w:hAnsi="仿宋" w:eastAsia="仿宋" w:cs="仿宋"/>
          <w:b/>
          <w:bCs/>
          <w:sz w:val="30"/>
          <w:szCs w:val="30"/>
        </w:rPr>
        <w:t>四、时间节点</w:t>
      </w:r>
    </w:p>
    <w:p w14:paraId="147E00DE">
      <w:pPr>
        <w:ind w:left="0" w:leftChars="0" w:firstLine="420" w:firstLineChars="0"/>
        <w:rPr>
          <w:rFonts w:hint="eastAsia" w:ascii="仿宋" w:hAnsi="仿宋" w:eastAsia="仿宋" w:cs="仿宋"/>
          <w:sz w:val="30"/>
          <w:szCs w:val="30"/>
        </w:rPr>
      </w:pPr>
      <w:r>
        <w:rPr>
          <w:rFonts w:hint="eastAsia" w:ascii="仿宋" w:hAnsi="仿宋" w:eastAsia="仿宋" w:cs="仿宋"/>
          <w:sz w:val="30"/>
          <w:szCs w:val="30"/>
        </w:rPr>
        <w:t>报价截止时间为2025年5月3</w:t>
      </w:r>
      <w:r>
        <w:rPr>
          <w:rFonts w:hint="eastAsia" w:ascii="仿宋" w:hAnsi="仿宋" w:eastAsia="仿宋" w:cs="仿宋"/>
          <w:sz w:val="30"/>
          <w:szCs w:val="30"/>
          <w:lang w:val="en-US" w:eastAsia="zh-CN"/>
        </w:rPr>
        <w:t>1</w:t>
      </w:r>
      <w:r>
        <w:rPr>
          <w:rFonts w:hint="eastAsia" w:ascii="仿宋" w:hAnsi="仿宋" w:eastAsia="仿宋" w:cs="仿宋"/>
          <w:sz w:val="30"/>
          <w:szCs w:val="30"/>
        </w:rPr>
        <w:t>日，逾期提交的报价文件将不予受理。</w:t>
      </w:r>
    </w:p>
    <w:p w14:paraId="523574A2">
      <w:pPr>
        <w:rPr>
          <w:rFonts w:hint="eastAsia" w:ascii="仿宋" w:hAnsi="仿宋" w:eastAsia="仿宋" w:cs="仿宋"/>
          <w:sz w:val="30"/>
          <w:szCs w:val="30"/>
        </w:rPr>
      </w:pPr>
      <w:r>
        <w:rPr>
          <w:rFonts w:hint="eastAsia" w:ascii="仿宋" w:hAnsi="仿宋" w:eastAsia="仿宋" w:cs="仿宋"/>
          <w:sz w:val="30"/>
          <w:szCs w:val="30"/>
        </w:rPr>
        <w:br w:type="page"/>
      </w:r>
    </w:p>
    <w:p w14:paraId="6469D95A">
      <w:pPr>
        <w:ind w:left="0" w:leftChars="0" w:firstLine="420" w:firstLineChars="0"/>
        <w:rPr>
          <w:rFonts w:hint="eastAsia" w:ascii="仿宋" w:hAnsi="仿宋" w:eastAsia="仿宋" w:cs="仿宋"/>
          <w:sz w:val="30"/>
          <w:szCs w:val="30"/>
        </w:rPr>
      </w:pPr>
      <w:r>
        <w:rPr>
          <w:sz w:val="21"/>
        </w:rPr>
        <w:drawing>
          <wp:anchor distT="0" distB="0" distL="114300" distR="114300" simplePos="0" relativeHeight="251659264" behindDoc="1" locked="0" layoutInCell="1" allowOverlap="1">
            <wp:simplePos x="0" y="0"/>
            <wp:positionH relativeFrom="column">
              <wp:posOffset>-892810</wp:posOffset>
            </wp:positionH>
            <wp:positionV relativeFrom="paragraph">
              <wp:posOffset>-864235</wp:posOffset>
            </wp:positionV>
            <wp:extent cx="7559040" cy="10770870"/>
            <wp:effectExtent l="0" t="0" r="0" b="3810"/>
            <wp:wrapNone/>
            <wp:docPr id="1" name="图片 1" descr="x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xx"/>
                    <pic:cNvPicPr>
                      <a:picLocks noChangeAspect="1"/>
                    </pic:cNvPicPr>
                  </pic:nvPicPr>
                  <pic:blipFill>
                    <a:blip r:embed="rId4"/>
                    <a:stretch>
                      <a:fillRect/>
                    </a:stretch>
                  </pic:blipFill>
                  <pic:spPr>
                    <a:xfrm>
                      <a:off x="0" y="0"/>
                      <a:ext cx="7559040" cy="10770870"/>
                    </a:xfrm>
                    <a:prstGeom prst="rect">
                      <a:avLst/>
                    </a:prstGeom>
                  </pic:spPr>
                </pic:pic>
              </a:graphicData>
            </a:graphic>
          </wp:anchor>
        </w:drawing>
      </w:r>
      <w:r>
        <w:rPr>
          <w:rFonts w:hint="eastAsia" w:ascii="仿宋" w:hAnsi="仿宋" w:eastAsia="仿宋" w:cs="仿宋"/>
          <w:sz w:val="30"/>
          <w:szCs w:val="30"/>
        </w:rPr>
        <w:t>我们秉持公平、公正、公开原则，期待与诚信专业的供应商携手，共同推动</w:t>
      </w:r>
      <w:r>
        <w:rPr>
          <w:rFonts w:hint="eastAsia" w:ascii="仿宋" w:hAnsi="仿宋" w:eastAsia="仿宋" w:cs="仿宋"/>
          <w:sz w:val="30"/>
          <w:szCs w:val="30"/>
          <w:lang w:eastAsia="zh-CN"/>
        </w:rPr>
        <w:t>哈尔滨市轨道交通3号线二期安通街车辆基地不落轮镟床采购项目</w:t>
      </w:r>
      <w:r>
        <w:rPr>
          <w:rFonts w:hint="eastAsia" w:ascii="仿宋" w:hAnsi="仿宋" w:eastAsia="仿宋" w:cs="仿宋"/>
          <w:sz w:val="30"/>
          <w:szCs w:val="30"/>
        </w:rPr>
        <w:t>项目落地实施。请各供应商仔细研读“设备”询（报）价单及附件，提交详实且具竞争力的报价方案。感谢您的积极参与！</w:t>
      </w:r>
    </w:p>
    <w:p w14:paraId="442227DD">
      <w:pPr>
        <w:rPr>
          <w:rFonts w:hint="eastAsia" w:ascii="仿宋" w:hAnsi="仿宋" w:eastAsia="仿宋" w:cs="仿宋"/>
          <w:sz w:val="30"/>
          <w:szCs w:val="30"/>
        </w:rPr>
      </w:pPr>
      <w:r>
        <w:rPr>
          <w:rFonts w:hint="eastAsia" w:ascii="仿宋" w:hAnsi="仿宋" w:eastAsia="仿宋" w:cs="仿宋"/>
          <w:sz w:val="30"/>
          <w:szCs w:val="30"/>
        </w:rPr>
        <w:br w:type="page"/>
      </w:r>
    </w:p>
    <w:p w14:paraId="250FF7D5">
      <w:pPr>
        <w:jc w:val="center"/>
        <w:rPr>
          <w:rFonts w:hint="eastAsia" w:ascii="仿宋" w:hAnsi="仿宋" w:eastAsia="仿宋" w:cs="仿宋"/>
          <w:sz w:val="30"/>
          <w:szCs w:val="30"/>
        </w:rPr>
      </w:pPr>
      <w:r>
        <w:rPr>
          <w:rFonts w:hint="eastAsia" w:ascii="黑体" w:hAnsi="黑体" w:eastAsia="黑体" w:cs="黑体"/>
          <w:b/>
          <w:bCs/>
          <w:sz w:val="48"/>
          <w:szCs w:val="48"/>
          <w:lang w:eastAsia="zh-CN"/>
        </w:rPr>
        <w:t>哈尔滨市轨道交通3号线二期安通街车辆基地不落轮镟床采购项目</w:t>
      </w:r>
      <w:r>
        <w:rPr>
          <w:sz w:val="21"/>
        </w:rPr>
        <w:drawing>
          <wp:anchor distT="0" distB="0" distL="114300" distR="114300" simplePos="0" relativeHeight="251663360" behindDoc="1" locked="0" layoutInCell="1" allowOverlap="1">
            <wp:simplePos x="0" y="0"/>
            <wp:positionH relativeFrom="column">
              <wp:posOffset>-900430</wp:posOffset>
            </wp:positionH>
            <wp:positionV relativeFrom="paragraph">
              <wp:posOffset>-864235</wp:posOffset>
            </wp:positionV>
            <wp:extent cx="7559040" cy="10770870"/>
            <wp:effectExtent l="0" t="0" r="0" b="3810"/>
            <wp:wrapNone/>
            <wp:docPr id="6" name="图片 6" descr="x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xx"/>
                    <pic:cNvPicPr>
                      <a:picLocks noChangeAspect="1"/>
                    </pic:cNvPicPr>
                  </pic:nvPicPr>
                  <pic:blipFill>
                    <a:blip r:embed="rId4"/>
                    <a:stretch>
                      <a:fillRect/>
                    </a:stretch>
                  </pic:blipFill>
                  <pic:spPr>
                    <a:xfrm>
                      <a:off x="0" y="0"/>
                      <a:ext cx="7559040" cy="10770870"/>
                    </a:xfrm>
                    <a:prstGeom prst="rect">
                      <a:avLst/>
                    </a:prstGeom>
                  </pic:spPr>
                </pic:pic>
              </a:graphicData>
            </a:graphic>
          </wp:anchor>
        </w:drawing>
      </w:r>
      <w:r>
        <w:rPr>
          <w:rFonts w:hint="eastAsia" w:ascii="黑体" w:hAnsi="黑体" w:eastAsia="黑体" w:cs="黑体"/>
          <w:b/>
          <w:bCs/>
          <w:sz w:val="48"/>
          <w:szCs w:val="48"/>
          <w:lang w:eastAsia="zh-CN"/>
        </w:rPr>
        <w:t>询（报）价单</w:t>
      </w:r>
    </w:p>
    <w:tbl>
      <w:tblPr>
        <w:tblStyle w:val="8"/>
        <w:tblpPr w:leftFromText="180" w:rightFromText="180" w:vertAnchor="page" w:horzAnchor="page" w:tblpX="985" w:tblpY="3228"/>
        <w:tblOverlap w:val="never"/>
        <w:tblW w:w="10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7"/>
        <w:gridCol w:w="244"/>
        <w:gridCol w:w="397"/>
        <w:gridCol w:w="944"/>
        <w:gridCol w:w="2465"/>
        <w:gridCol w:w="364"/>
        <w:gridCol w:w="1"/>
        <w:gridCol w:w="985"/>
        <w:gridCol w:w="273"/>
        <w:gridCol w:w="1077"/>
        <w:gridCol w:w="1350"/>
        <w:gridCol w:w="1350"/>
      </w:tblGrid>
      <w:tr w14:paraId="5E4AD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5031" w:type="dxa"/>
            <w:gridSpan w:val="6"/>
          </w:tcPr>
          <w:p w14:paraId="1EA73888">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sz w:val="32"/>
                <w:szCs w:val="32"/>
                <w:vertAlign w:val="baseline"/>
                <w:lang w:val="en-US" w:eastAsia="zh-CN"/>
              </w:rPr>
              <w:t>TO:</w:t>
            </w:r>
          </w:p>
        </w:tc>
        <w:tc>
          <w:tcPr>
            <w:tcW w:w="5036" w:type="dxa"/>
            <w:gridSpan w:val="6"/>
          </w:tcPr>
          <w:p w14:paraId="742A19BE">
            <w:pPr>
              <w:rPr>
                <w:rFonts w:hint="eastAsia" w:ascii="微软雅黑" w:hAnsi="微软雅黑" w:eastAsia="微软雅黑" w:cs="微软雅黑"/>
                <w:b/>
                <w:bCs/>
                <w:sz w:val="32"/>
                <w:szCs w:val="32"/>
                <w:vertAlign w:val="baseline"/>
                <w:lang w:val="en-US" w:eastAsia="zh-CN"/>
              </w:rPr>
            </w:pPr>
            <w:r>
              <w:rPr>
                <w:rFonts w:hint="eastAsia" w:ascii="微软雅黑" w:hAnsi="微软雅黑" w:eastAsia="微软雅黑" w:cs="微软雅黑"/>
                <w:b/>
                <w:bCs/>
                <w:sz w:val="32"/>
                <w:szCs w:val="32"/>
                <w:vertAlign w:val="baseline"/>
                <w:lang w:val="en-US" w:eastAsia="zh-CN"/>
              </w:rPr>
              <w:t>FROM:</w:t>
            </w:r>
          </w:p>
        </w:tc>
      </w:tr>
      <w:tr w14:paraId="39AFD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58" w:type="dxa"/>
            <w:gridSpan w:val="3"/>
            <w:vAlign w:val="center"/>
          </w:tcPr>
          <w:p w14:paraId="069F9F18">
            <w:pP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单位名称</w:t>
            </w:r>
          </w:p>
        </w:tc>
        <w:tc>
          <w:tcPr>
            <w:tcW w:w="3774" w:type="dxa"/>
            <w:gridSpan w:val="4"/>
            <w:vAlign w:val="center"/>
          </w:tcPr>
          <w:p w14:paraId="1971FAD5">
            <w:pPr>
              <w:rPr>
                <w:rFonts w:hint="eastAsia" w:ascii="微软雅黑" w:hAnsi="微软雅黑" w:eastAsia="微软雅黑" w:cs="微软雅黑"/>
                <w:sz w:val="18"/>
                <w:szCs w:val="18"/>
                <w:vertAlign w:val="baseline"/>
              </w:rPr>
            </w:pPr>
          </w:p>
        </w:tc>
        <w:tc>
          <w:tcPr>
            <w:tcW w:w="1258" w:type="dxa"/>
            <w:gridSpan w:val="2"/>
            <w:vAlign w:val="center"/>
          </w:tcPr>
          <w:p w14:paraId="0A7CAC17">
            <w:pPr>
              <w:rPr>
                <w:rFonts w:hint="eastAsia" w:ascii="微软雅黑" w:hAnsi="微软雅黑" w:eastAsia="微软雅黑" w:cs="微软雅黑"/>
                <w:sz w:val="18"/>
                <w:szCs w:val="18"/>
                <w:vertAlign w:val="baseline"/>
              </w:rPr>
            </w:pPr>
            <w:r>
              <w:rPr>
                <w:rFonts w:hint="eastAsia" w:ascii="微软雅黑" w:hAnsi="微软雅黑" w:eastAsia="微软雅黑" w:cs="微软雅黑"/>
                <w:sz w:val="18"/>
                <w:szCs w:val="18"/>
                <w:vertAlign w:val="baseline"/>
                <w:lang w:val="en-US" w:eastAsia="zh-CN"/>
              </w:rPr>
              <w:t>单位名称</w:t>
            </w:r>
          </w:p>
        </w:tc>
        <w:tc>
          <w:tcPr>
            <w:tcW w:w="3777" w:type="dxa"/>
            <w:gridSpan w:val="3"/>
            <w:vAlign w:val="center"/>
          </w:tcPr>
          <w:p w14:paraId="6C028A27">
            <w:pPr>
              <w:rPr>
                <w:rFonts w:hint="eastAsia"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eastAsia="zh-CN"/>
              </w:rPr>
              <w:t>黑龙江省招标有限公司</w:t>
            </w:r>
          </w:p>
        </w:tc>
      </w:tr>
      <w:tr w14:paraId="17E4E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58" w:type="dxa"/>
            <w:gridSpan w:val="3"/>
            <w:vAlign w:val="center"/>
          </w:tcPr>
          <w:p w14:paraId="09BDC777">
            <w:pPr>
              <w:rPr>
                <w:rFonts w:hint="eastAsia" w:ascii="微软雅黑" w:hAnsi="微软雅黑" w:eastAsia="微软雅黑" w:cs="微软雅黑"/>
                <w:sz w:val="18"/>
                <w:szCs w:val="18"/>
                <w:vertAlign w:val="baseline"/>
              </w:rPr>
            </w:pPr>
            <w:r>
              <w:rPr>
                <w:rFonts w:hint="eastAsia" w:ascii="微软雅黑" w:hAnsi="微软雅黑" w:eastAsia="微软雅黑" w:cs="微软雅黑"/>
                <w:sz w:val="18"/>
                <w:szCs w:val="18"/>
                <w:vertAlign w:val="baseline"/>
                <w:lang w:val="en-US" w:eastAsia="zh-CN"/>
              </w:rPr>
              <w:t>联系人</w:t>
            </w:r>
          </w:p>
        </w:tc>
        <w:tc>
          <w:tcPr>
            <w:tcW w:w="3774" w:type="dxa"/>
            <w:gridSpan w:val="4"/>
            <w:vAlign w:val="center"/>
          </w:tcPr>
          <w:p w14:paraId="7BCCF770">
            <w:pPr>
              <w:rPr>
                <w:rFonts w:hint="eastAsia" w:ascii="微软雅黑" w:hAnsi="微软雅黑" w:eastAsia="微软雅黑" w:cs="微软雅黑"/>
                <w:sz w:val="18"/>
                <w:szCs w:val="18"/>
                <w:vertAlign w:val="baseline"/>
              </w:rPr>
            </w:pPr>
          </w:p>
        </w:tc>
        <w:tc>
          <w:tcPr>
            <w:tcW w:w="1258" w:type="dxa"/>
            <w:gridSpan w:val="2"/>
            <w:vAlign w:val="center"/>
          </w:tcPr>
          <w:p w14:paraId="5E0FE3E7">
            <w:pPr>
              <w:rPr>
                <w:rFonts w:hint="eastAsia" w:ascii="微软雅黑" w:hAnsi="微软雅黑" w:eastAsia="微软雅黑" w:cs="微软雅黑"/>
                <w:sz w:val="18"/>
                <w:szCs w:val="18"/>
                <w:vertAlign w:val="baseline"/>
              </w:rPr>
            </w:pPr>
            <w:r>
              <w:rPr>
                <w:rFonts w:hint="eastAsia" w:ascii="微软雅黑" w:hAnsi="微软雅黑" w:eastAsia="微软雅黑" w:cs="微软雅黑"/>
                <w:sz w:val="18"/>
                <w:szCs w:val="18"/>
                <w:vertAlign w:val="baseline"/>
                <w:lang w:val="en-US" w:eastAsia="zh-CN"/>
              </w:rPr>
              <w:t>联系人</w:t>
            </w:r>
          </w:p>
        </w:tc>
        <w:tc>
          <w:tcPr>
            <w:tcW w:w="3777" w:type="dxa"/>
            <w:gridSpan w:val="3"/>
            <w:vAlign w:val="center"/>
          </w:tcPr>
          <w:p w14:paraId="563E24A2">
            <w:pP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刘英敏</w:t>
            </w:r>
          </w:p>
        </w:tc>
      </w:tr>
      <w:tr w14:paraId="71C80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58" w:type="dxa"/>
            <w:gridSpan w:val="3"/>
            <w:vAlign w:val="center"/>
          </w:tcPr>
          <w:p w14:paraId="310C4423">
            <w:pPr>
              <w:rPr>
                <w:rFonts w:hint="eastAsia" w:ascii="微软雅黑" w:hAnsi="微软雅黑" w:eastAsia="微软雅黑" w:cs="微软雅黑"/>
                <w:sz w:val="18"/>
                <w:szCs w:val="18"/>
                <w:vertAlign w:val="baseline"/>
              </w:rPr>
            </w:pPr>
            <w:r>
              <w:rPr>
                <w:rFonts w:hint="eastAsia" w:ascii="微软雅黑" w:hAnsi="微软雅黑" w:eastAsia="微软雅黑" w:cs="微软雅黑"/>
                <w:sz w:val="18"/>
                <w:szCs w:val="18"/>
                <w:vertAlign w:val="baseline"/>
                <w:lang w:val="en-US" w:eastAsia="zh-CN"/>
              </w:rPr>
              <w:t>联系电话</w:t>
            </w:r>
          </w:p>
        </w:tc>
        <w:tc>
          <w:tcPr>
            <w:tcW w:w="3774" w:type="dxa"/>
            <w:gridSpan w:val="4"/>
            <w:vAlign w:val="center"/>
          </w:tcPr>
          <w:p w14:paraId="5707D491">
            <w:pPr>
              <w:rPr>
                <w:rFonts w:hint="eastAsia" w:ascii="微软雅黑" w:hAnsi="微软雅黑" w:eastAsia="微软雅黑" w:cs="微软雅黑"/>
                <w:sz w:val="18"/>
                <w:szCs w:val="18"/>
                <w:vertAlign w:val="baseline"/>
              </w:rPr>
            </w:pPr>
          </w:p>
        </w:tc>
        <w:tc>
          <w:tcPr>
            <w:tcW w:w="1258" w:type="dxa"/>
            <w:gridSpan w:val="2"/>
            <w:vAlign w:val="center"/>
          </w:tcPr>
          <w:p w14:paraId="1DBA7D16">
            <w:pPr>
              <w:rPr>
                <w:rFonts w:hint="eastAsia" w:ascii="微软雅黑" w:hAnsi="微软雅黑" w:eastAsia="微软雅黑" w:cs="微软雅黑"/>
                <w:sz w:val="18"/>
                <w:szCs w:val="18"/>
                <w:vertAlign w:val="baseline"/>
              </w:rPr>
            </w:pPr>
            <w:r>
              <w:rPr>
                <w:rFonts w:hint="eastAsia" w:ascii="微软雅黑" w:hAnsi="微软雅黑" w:eastAsia="微软雅黑" w:cs="微软雅黑"/>
                <w:sz w:val="18"/>
                <w:szCs w:val="18"/>
                <w:vertAlign w:val="baseline"/>
                <w:lang w:val="en-US" w:eastAsia="zh-CN"/>
              </w:rPr>
              <w:t>联系电话</w:t>
            </w:r>
          </w:p>
        </w:tc>
        <w:tc>
          <w:tcPr>
            <w:tcW w:w="3777" w:type="dxa"/>
            <w:gridSpan w:val="3"/>
            <w:vAlign w:val="center"/>
          </w:tcPr>
          <w:p w14:paraId="7D4BB66D">
            <w:pP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13144508259</w:t>
            </w:r>
          </w:p>
        </w:tc>
      </w:tr>
      <w:tr w14:paraId="1F324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58" w:type="dxa"/>
            <w:gridSpan w:val="3"/>
            <w:vAlign w:val="center"/>
          </w:tcPr>
          <w:p w14:paraId="2501087C">
            <w:pPr>
              <w:rPr>
                <w:rFonts w:hint="eastAsia"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eastAsia="zh-CN"/>
              </w:rPr>
              <w:t>地址</w:t>
            </w:r>
          </w:p>
        </w:tc>
        <w:tc>
          <w:tcPr>
            <w:tcW w:w="3774" w:type="dxa"/>
            <w:gridSpan w:val="4"/>
            <w:vAlign w:val="center"/>
          </w:tcPr>
          <w:p w14:paraId="43F96EFB">
            <w:pPr>
              <w:rPr>
                <w:rFonts w:hint="eastAsia" w:ascii="微软雅黑" w:hAnsi="微软雅黑" w:eastAsia="微软雅黑" w:cs="微软雅黑"/>
                <w:sz w:val="18"/>
                <w:szCs w:val="18"/>
                <w:vertAlign w:val="baseline"/>
              </w:rPr>
            </w:pPr>
          </w:p>
        </w:tc>
        <w:tc>
          <w:tcPr>
            <w:tcW w:w="1258" w:type="dxa"/>
            <w:gridSpan w:val="2"/>
            <w:vAlign w:val="center"/>
          </w:tcPr>
          <w:p w14:paraId="2DA40B7D">
            <w:pPr>
              <w:rPr>
                <w:rFonts w:hint="eastAsia" w:ascii="微软雅黑" w:hAnsi="微软雅黑" w:eastAsia="微软雅黑" w:cs="微软雅黑"/>
                <w:sz w:val="18"/>
                <w:szCs w:val="18"/>
                <w:vertAlign w:val="baseline"/>
              </w:rPr>
            </w:pPr>
            <w:r>
              <w:rPr>
                <w:rFonts w:hint="eastAsia" w:ascii="微软雅黑" w:hAnsi="微软雅黑" w:eastAsia="微软雅黑" w:cs="微软雅黑"/>
                <w:sz w:val="18"/>
                <w:szCs w:val="18"/>
                <w:vertAlign w:val="baseline"/>
                <w:lang w:eastAsia="zh-CN"/>
              </w:rPr>
              <w:t>地址</w:t>
            </w:r>
          </w:p>
        </w:tc>
        <w:tc>
          <w:tcPr>
            <w:tcW w:w="3777" w:type="dxa"/>
            <w:gridSpan w:val="3"/>
            <w:vAlign w:val="center"/>
          </w:tcPr>
          <w:p w14:paraId="0411B0A0">
            <w:pP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eastAsia="zh-CN"/>
              </w:rPr>
              <w:t>黑龙江省哈尔滨市南岗区汉水路</w:t>
            </w:r>
            <w:r>
              <w:rPr>
                <w:rFonts w:hint="eastAsia" w:ascii="微软雅黑" w:hAnsi="微软雅黑" w:eastAsia="微软雅黑" w:cs="微软雅黑"/>
                <w:sz w:val="18"/>
                <w:szCs w:val="18"/>
                <w:vertAlign w:val="baseline"/>
                <w:lang w:val="en-US" w:eastAsia="zh-CN"/>
              </w:rPr>
              <w:t>180号</w:t>
            </w:r>
          </w:p>
        </w:tc>
      </w:tr>
      <w:tr w14:paraId="0204C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58" w:type="dxa"/>
            <w:gridSpan w:val="3"/>
            <w:vAlign w:val="center"/>
          </w:tcPr>
          <w:p w14:paraId="62DC0756">
            <w:pPr>
              <w:rPr>
                <w:rFonts w:hint="eastAsia"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eastAsia="zh-CN"/>
              </w:rPr>
              <w:t>邮箱</w:t>
            </w:r>
          </w:p>
        </w:tc>
        <w:tc>
          <w:tcPr>
            <w:tcW w:w="3774" w:type="dxa"/>
            <w:gridSpan w:val="4"/>
            <w:vAlign w:val="center"/>
          </w:tcPr>
          <w:p w14:paraId="658E6007">
            <w:pPr>
              <w:rPr>
                <w:rFonts w:hint="eastAsia" w:ascii="微软雅黑" w:hAnsi="微软雅黑" w:eastAsia="微软雅黑" w:cs="微软雅黑"/>
                <w:sz w:val="18"/>
                <w:szCs w:val="18"/>
                <w:vertAlign w:val="baseline"/>
              </w:rPr>
            </w:pPr>
          </w:p>
        </w:tc>
        <w:tc>
          <w:tcPr>
            <w:tcW w:w="1258" w:type="dxa"/>
            <w:gridSpan w:val="2"/>
            <w:vAlign w:val="center"/>
          </w:tcPr>
          <w:p w14:paraId="63436372">
            <w:pPr>
              <w:rPr>
                <w:rFonts w:hint="eastAsia" w:ascii="微软雅黑" w:hAnsi="微软雅黑" w:eastAsia="微软雅黑" w:cs="微软雅黑"/>
                <w:sz w:val="18"/>
                <w:szCs w:val="18"/>
                <w:vertAlign w:val="baseline"/>
              </w:rPr>
            </w:pPr>
            <w:r>
              <w:rPr>
                <w:rFonts w:hint="eastAsia" w:ascii="微软雅黑" w:hAnsi="微软雅黑" w:eastAsia="微软雅黑" w:cs="微软雅黑"/>
                <w:sz w:val="18"/>
                <w:szCs w:val="18"/>
                <w:vertAlign w:val="baseline"/>
                <w:lang w:eastAsia="zh-CN"/>
              </w:rPr>
              <w:t>邮箱</w:t>
            </w:r>
          </w:p>
        </w:tc>
        <w:tc>
          <w:tcPr>
            <w:tcW w:w="3777" w:type="dxa"/>
            <w:gridSpan w:val="3"/>
            <w:vAlign w:val="center"/>
          </w:tcPr>
          <w:p w14:paraId="41F98357">
            <w:pP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827059142@qq.com</w:t>
            </w:r>
          </w:p>
        </w:tc>
      </w:tr>
      <w:tr w14:paraId="49127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0067" w:type="dxa"/>
            <w:gridSpan w:val="12"/>
            <w:vAlign w:val="center"/>
          </w:tcPr>
          <w:p w14:paraId="1481154D">
            <w:pPr>
              <w:rPr>
                <w:rFonts w:hint="eastAsia" w:ascii="微软雅黑" w:hAnsi="微软雅黑" w:eastAsia="微软雅黑" w:cs="微软雅黑"/>
                <w:sz w:val="18"/>
                <w:szCs w:val="18"/>
                <w:vertAlign w:val="baseline"/>
                <w:lang w:eastAsia="zh-CN"/>
              </w:rPr>
            </w:pPr>
            <w:r>
              <w:rPr>
                <w:rFonts w:hint="eastAsia" w:ascii="楷体" w:hAnsi="楷体" w:eastAsia="楷体" w:cs="楷体"/>
                <w:sz w:val="18"/>
                <w:szCs w:val="18"/>
                <w:vertAlign w:val="baseline"/>
                <w:lang w:eastAsia="zh-CN"/>
              </w:rPr>
              <w:t>感谢您对本公司的信任，您需要的报价如下：</w:t>
            </w:r>
          </w:p>
        </w:tc>
      </w:tr>
      <w:tr w14:paraId="4C3FA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61" w:type="dxa"/>
            <w:gridSpan w:val="2"/>
            <w:shd w:val="clear" w:color="auto" w:fill="D7D7D7" w:themeFill="background1" w:themeFillShade="D8"/>
            <w:vAlign w:val="center"/>
          </w:tcPr>
          <w:p w14:paraId="4F987AF8">
            <w:pPr>
              <w:jc w:val="center"/>
              <w:rPr>
                <w:rFonts w:hint="eastAsia"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eastAsia="zh-CN"/>
              </w:rPr>
              <w:t>序号</w:t>
            </w:r>
          </w:p>
        </w:tc>
        <w:tc>
          <w:tcPr>
            <w:tcW w:w="1341" w:type="dxa"/>
            <w:gridSpan w:val="2"/>
            <w:shd w:val="clear" w:color="auto" w:fill="D7D7D7" w:themeFill="background1" w:themeFillShade="D8"/>
            <w:vAlign w:val="center"/>
          </w:tcPr>
          <w:p w14:paraId="1F4F205F">
            <w:pPr>
              <w:jc w:val="center"/>
              <w:rPr>
                <w:rFonts w:hint="eastAsia"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eastAsia="zh-CN"/>
              </w:rPr>
              <w:t>产品名称</w:t>
            </w:r>
          </w:p>
        </w:tc>
        <w:tc>
          <w:tcPr>
            <w:tcW w:w="2465" w:type="dxa"/>
            <w:shd w:val="clear" w:color="auto" w:fill="D7D7D7" w:themeFill="background1" w:themeFillShade="D8"/>
            <w:vAlign w:val="center"/>
          </w:tcPr>
          <w:p w14:paraId="31CA117F">
            <w:pPr>
              <w:jc w:val="center"/>
              <w:rPr>
                <w:rFonts w:hint="eastAsia"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eastAsia="zh-CN"/>
              </w:rPr>
              <w:t>规格</w:t>
            </w:r>
          </w:p>
        </w:tc>
        <w:tc>
          <w:tcPr>
            <w:tcW w:w="1350" w:type="dxa"/>
            <w:gridSpan w:val="3"/>
            <w:shd w:val="clear" w:color="auto" w:fill="D7D7D7" w:themeFill="background1" w:themeFillShade="D8"/>
            <w:vAlign w:val="center"/>
          </w:tcPr>
          <w:p w14:paraId="1A072FF0">
            <w:pPr>
              <w:jc w:val="center"/>
              <w:rPr>
                <w:rFonts w:hint="eastAsia"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eastAsia="zh-CN"/>
              </w:rPr>
              <w:t>数量</w:t>
            </w:r>
          </w:p>
        </w:tc>
        <w:tc>
          <w:tcPr>
            <w:tcW w:w="1350" w:type="dxa"/>
            <w:gridSpan w:val="2"/>
            <w:shd w:val="clear" w:color="auto" w:fill="D7D7D7" w:themeFill="background1" w:themeFillShade="D8"/>
            <w:vAlign w:val="center"/>
          </w:tcPr>
          <w:p w14:paraId="41F731FE">
            <w:pPr>
              <w:jc w:val="center"/>
              <w:rPr>
                <w:rFonts w:hint="eastAsia"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eastAsia="zh-CN"/>
              </w:rPr>
              <w:t>单价（元）</w:t>
            </w:r>
          </w:p>
        </w:tc>
        <w:tc>
          <w:tcPr>
            <w:tcW w:w="1350" w:type="dxa"/>
            <w:shd w:val="clear" w:color="auto" w:fill="D7D7D7" w:themeFill="background1" w:themeFillShade="D8"/>
            <w:vAlign w:val="center"/>
          </w:tcPr>
          <w:p w14:paraId="1A5B3949">
            <w:pPr>
              <w:jc w:val="center"/>
              <w:rPr>
                <w:rFonts w:hint="eastAsia"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eastAsia="zh-CN"/>
              </w:rPr>
              <w:t>金额（元）</w:t>
            </w:r>
          </w:p>
        </w:tc>
        <w:tc>
          <w:tcPr>
            <w:tcW w:w="1350" w:type="dxa"/>
            <w:shd w:val="clear" w:color="auto" w:fill="D7D7D7" w:themeFill="background1" w:themeFillShade="D8"/>
            <w:vAlign w:val="center"/>
          </w:tcPr>
          <w:p w14:paraId="5E49B04A">
            <w:pPr>
              <w:jc w:val="center"/>
              <w:rPr>
                <w:rFonts w:hint="eastAsia" w:ascii="微软雅黑" w:hAnsi="微软雅黑" w:eastAsia="微软雅黑" w:cs="微软雅黑"/>
                <w:sz w:val="18"/>
                <w:szCs w:val="18"/>
                <w:vertAlign w:val="baseline"/>
              </w:rPr>
            </w:pPr>
            <w:r>
              <w:rPr>
                <w:rFonts w:hint="eastAsia" w:ascii="微软雅黑" w:hAnsi="微软雅黑" w:eastAsia="微软雅黑" w:cs="微软雅黑"/>
                <w:sz w:val="18"/>
                <w:szCs w:val="18"/>
                <w:vertAlign w:val="baseline"/>
                <w:lang w:eastAsia="zh-CN"/>
              </w:rPr>
              <w:t>备注</w:t>
            </w:r>
          </w:p>
        </w:tc>
      </w:tr>
      <w:tr w14:paraId="540AB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61" w:type="dxa"/>
            <w:gridSpan w:val="2"/>
            <w:vAlign w:val="center"/>
          </w:tcPr>
          <w:p w14:paraId="32800F81">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w:t>
            </w:r>
          </w:p>
        </w:tc>
        <w:tc>
          <w:tcPr>
            <w:tcW w:w="1341" w:type="dxa"/>
            <w:gridSpan w:val="2"/>
            <w:vAlign w:val="center"/>
          </w:tcPr>
          <w:p w14:paraId="332A478B">
            <w:pPr>
              <w:jc w:val="center"/>
              <w:rPr>
                <w:rFonts w:hint="eastAsia"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eastAsia="zh-CN"/>
              </w:rPr>
              <w:t>车辆基地不落轮镟床采购项目</w:t>
            </w:r>
          </w:p>
        </w:tc>
        <w:tc>
          <w:tcPr>
            <w:tcW w:w="2465" w:type="dxa"/>
            <w:vAlign w:val="center"/>
          </w:tcPr>
          <w:p w14:paraId="242A29C1">
            <w:pPr>
              <w:jc w:val="both"/>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eastAsia="zh-CN"/>
              </w:rPr>
              <w:t>供应商提供全新、</w:t>
            </w:r>
            <w:r>
              <w:rPr>
                <w:rFonts w:hint="eastAsia" w:ascii="微软雅黑" w:hAnsi="微软雅黑" w:eastAsia="微软雅黑" w:cs="微软雅黑"/>
                <w:sz w:val="18"/>
                <w:szCs w:val="18"/>
                <w:vertAlign w:val="baseline"/>
                <w:lang w:val="en-US" w:eastAsia="zh-CN"/>
              </w:rPr>
              <w:t>包含所有技术参数附件及</w:t>
            </w:r>
            <w:r>
              <w:rPr>
                <w:rFonts w:hint="eastAsia" w:ascii="微软雅黑" w:hAnsi="微软雅黑" w:eastAsia="微软雅黑" w:cs="微软雅黑"/>
                <w:sz w:val="18"/>
                <w:szCs w:val="18"/>
                <w:vertAlign w:val="baseline"/>
                <w:lang w:eastAsia="zh-CN"/>
              </w:rPr>
              <w:t>完整符合</w:t>
            </w:r>
            <w:r>
              <w:rPr>
                <w:rFonts w:hint="eastAsia" w:ascii="微软雅黑" w:hAnsi="微软雅黑" w:eastAsia="微软雅黑" w:cs="微软雅黑"/>
                <w:sz w:val="18"/>
                <w:szCs w:val="18"/>
                <w:vertAlign w:val="baseline"/>
                <w:lang w:val="en-US" w:eastAsia="zh-CN"/>
              </w:rPr>
              <w:t>合同</w:t>
            </w:r>
            <w:r>
              <w:rPr>
                <w:rFonts w:hint="eastAsia" w:ascii="微软雅黑" w:hAnsi="微软雅黑" w:eastAsia="微软雅黑" w:cs="微软雅黑"/>
                <w:sz w:val="18"/>
                <w:szCs w:val="18"/>
                <w:vertAlign w:val="baseline"/>
                <w:lang w:eastAsia="zh-CN"/>
              </w:rPr>
              <w:t>要求的</w:t>
            </w:r>
            <w:r>
              <w:rPr>
                <w:rFonts w:hint="eastAsia" w:ascii="微软雅黑" w:hAnsi="微软雅黑" w:eastAsia="微软雅黑" w:cs="微软雅黑"/>
                <w:sz w:val="18"/>
                <w:szCs w:val="18"/>
                <w:vertAlign w:val="baseline"/>
                <w:lang w:val="en-US" w:eastAsia="zh-CN"/>
              </w:rPr>
              <w:t>设备</w:t>
            </w:r>
            <w:r>
              <w:rPr>
                <w:rFonts w:hint="eastAsia" w:ascii="微软雅黑" w:hAnsi="微软雅黑" w:eastAsia="微软雅黑" w:cs="微软雅黑"/>
                <w:sz w:val="18"/>
                <w:szCs w:val="18"/>
                <w:vertAlign w:val="baseline"/>
                <w:lang w:eastAsia="zh-CN"/>
              </w:rPr>
              <w:t>。设备项目采用“交钥匙工程”方式供货，</w:t>
            </w:r>
            <w:r>
              <w:rPr>
                <w:rFonts w:hint="eastAsia" w:ascii="微软雅黑" w:hAnsi="微软雅黑" w:eastAsia="微软雅黑" w:cs="微软雅黑"/>
                <w:sz w:val="18"/>
                <w:szCs w:val="18"/>
                <w:vertAlign w:val="baseline"/>
                <w:lang w:val="en-US" w:eastAsia="zh-CN"/>
              </w:rPr>
              <w:t>金额为含税价格。</w:t>
            </w:r>
          </w:p>
        </w:tc>
        <w:tc>
          <w:tcPr>
            <w:tcW w:w="1350" w:type="dxa"/>
            <w:gridSpan w:val="3"/>
            <w:vAlign w:val="center"/>
          </w:tcPr>
          <w:p w14:paraId="2AB9BCA8">
            <w:pPr>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w:t>
            </w:r>
          </w:p>
        </w:tc>
        <w:tc>
          <w:tcPr>
            <w:tcW w:w="1350" w:type="dxa"/>
            <w:gridSpan w:val="2"/>
            <w:vAlign w:val="center"/>
          </w:tcPr>
          <w:p w14:paraId="774A7CBF">
            <w:pPr>
              <w:jc w:val="center"/>
              <w:rPr>
                <w:rFonts w:hint="eastAsia" w:ascii="微软雅黑" w:hAnsi="微软雅黑" w:eastAsia="微软雅黑" w:cs="微软雅黑"/>
                <w:sz w:val="18"/>
                <w:szCs w:val="18"/>
                <w:vertAlign w:val="baseline"/>
                <w:lang w:val="en-US" w:eastAsia="zh-CN"/>
              </w:rPr>
            </w:pPr>
          </w:p>
        </w:tc>
        <w:tc>
          <w:tcPr>
            <w:tcW w:w="1350" w:type="dxa"/>
            <w:vAlign w:val="center"/>
          </w:tcPr>
          <w:p w14:paraId="302D6ACC">
            <w:pPr>
              <w:jc w:val="center"/>
              <w:rPr>
                <w:rFonts w:hint="eastAsia" w:ascii="微软雅黑" w:hAnsi="微软雅黑" w:eastAsia="微软雅黑" w:cs="微软雅黑"/>
                <w:sz w:val="18"/>
                <w:szCs w:val="18"/>
                <w:vertAlign w:val="baseline"/>
                <w:lang w:val="en-US" w:eastAsia="zh-CN"/>
              </w:rPr>
            </w:pPr>
          </w:p>
        </w:tc>
        <w:tc>
          <w:tcPr>
            <w:tcW w:w="1350" w:type="dxa"/>
            <w:vAlign w:val="center"/>
          </w:tcPr>
          <w:p w14:paraId="56303E44">
            <w:pPr>
              <w:jc w:val="center"/>
              <w:rPr>
                <w:rFonts w:hint="eastAsia" w:ascii="微软雅黑" w:hAnsi="微软雅黑" w:eastAsia="微软雅黑" w:cs="微软雅黑"/>
                <w:sz w:val="18"/>
                <w:szCs w:val="18"/>
                <w:vertAlign w:val="baseline"/>
                <w:lang w:eastAsia="zh-CN"/>
              </w:rPr>
            </w:pPr>
          </w:p>
        </w:tc>
      </w:tr>
      <w:tr w14:paraId="5058C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61" w:type="dxa"/>
            <w:gridSpan w:val="2"/>
            <w:vAlign w:val="center"/>
          </w:tcPr>
          <w:p w14:paraId="4A06522A">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w:t>
            </w:r>
          </w:p>
        </w:tc>
        <w:tc>
          <w:tcPr>
            <w:tcW w:w="1341" w:type="dxa"/>
            <w:gridSpan w:val="2"/>
            <w:vAlign w:val="center"/>
          </w:tcPr>
          <w:p w14:paraId="1125599A">
            <w:pPr>
              <w:jc w:val="center"/>
              <w:rPr>
                <w:rFonts w:hint="eastAsia" w:ascii="微软雅黑" w:hAnsi="微软雅黑" w:eastAsia="微软雅黑" w:cs="微软雅黑"/>
                <w:sz w:val="18"/>
                <w:szCs w:val="18"/>
                <w:vertAlign w:val="baseline"/>
              </w:rPr>
            </w:pPr>
          </w:p>
        </w:tc>
        <w:tc>
          <w:tcPr>
            <w:tcW w:w="2465" w:type="dxa"/>
            <w:vAlign w:val="center"/>
          </w:tcPr>
          <w:p w14:paraId="48513C40">
            <w:pPr>
              <w:jc w:val="center"/>
              <w:rPr>
                <w:rFonts w:hint="eastAsia" w:ascii="微软雅黑" w:hAnsi="微软雅黑" w:eastAsia="微软雅黑" w:cs="微软雅黑"/>
                <w:sz w:val="18"/>
                <w:szCs w:val="18"/>
                <w:vertAlign w:val="baseline"/>
              </w:rPr>
            </w:pPr>
          </w:p>
        </w:tc>
        <w:tc>
          <w:tcPr>
            <w:tcW w:w="1350" w:type="dxa"/>
            <w:gridSpan w:val="3"/>
            <w:vAlign w:val="center"/>
          </w:tcPr>
          <w:p w14:paraId="3C585724">
            <w:pPr>
              <w:jc w:val="center"/>
              <w:rPr>
                <w:rFonts w:hint="eastAsia" w:ascii="微软雅黑" w:hAnsi="微软雅黑" w:eastAsia="微软雅黑" w:cs="微软雅黑"/>
                <w:sz w:val="18"/>
                <w:szCs w:val="18"/>
                <w:vertAlign w:val="baseline"/>
              </w:rPr>
            </w:pPr>
          </w:p>
        </w:tc>
        <w:tc>
          <w:tcPr>
            <w:tcW w:w="1350" w:type="dxa"/>
            <w:gridSpan w:val="2"/>
            <w:vAlign w:val="center"/>
          </w:tcPr>
          <w:p w14:paraId="313F3FFA">
            <w:pPr>
              <w:jc w:val="center"/>
              <w:rPr>
                <w:rFonts w:hint="eastAsia" w:ascii="微软雅黑" w:hAnsi="微软雅黑" w:eastAsia="微软雅黑" w:cs="微软雅黑"/>
                <w:sz w:val="18"/>
                <w:szCs w:val="18"/>
                <w:vertAlign w:val="baseline"/>
              </w:rPr>
            </w:pPr>
          </w:p>
        </w:tc>
        <w:tc>
          <w:tcPr>
            <w:tcW w:w="1350" w:type="dxa"/>
            <w:vAlign w:val="center"/>
          </w:tcPr>
          <w:p w14:paraId="2AD2ACC5">
            <w:pPr>
              <w:jc w:val="center"/>
              <w:rPr>
                <w:rFonts w:hint="eastAsia" w:ascii="微软雅黑" w:hAnsi="微软雅黑" w:eastAsia="微软雅黑" w:cs="微软雅黑"/>
                <w:sz w:val="18"/>
                <w:szCs w:val="18"/>
                <w:vertAlign w:val="baseline"/>
              </w:rPr>
            </w:pPr>
          </w:p>
        </w:tc>
        <w:tc>
          <w:tcPr>
            <w:tcW w:w="1350" w:type="dxa"/>
            <w:vAlign w:val="center"/>
          </w:tcPr>
          <w:p w14:paraId="1836D182">
            <w:pPr>
              <w:jc w:val="center"/>
              <w:rPr>
                <w:rFonts w:hint="eastAsia" w:ascii="微软雅黑" w:hAnsi="微软雅黑" w:eastAsia="微软雅黑" w:cs="微软雅黑"/>
                <w:sz w:val="18"/>
                <w:szCs w:val="18"/>
                <w:vertAlign w:val="baseline"/>
              </w:rPr>
            </w:pPr>
          </w:p>
        </w:tc>
      </w:tr>
      <w:tr w14:paraId="569A6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61" w:type="dxa"/>
            <w:gridSpan w:val="2"/>
            <w:vAlign w:val="center"/>
          </w:tcPr>
          <w:p w14:paraId="3EEA776C">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3</w:t>
            </w:r>
          </w:p>
        </w:tc>
        <w:tc>
          <w:tcPr>
            <w:tcW w:w="1341" w:type="dxa"/>
            <w:gridSpan w:val="2"/>
            <w:vAlign w:val="center"/>
          </w:tcPr>
          <w:p w14:paraId="7627F7B6">
            <w:pPr>
              <w:jc w:val="center"/>
              <w:rPr>
                <w:rFonts w:hint="eastAsia" w:ascii="微软雅黑" w:hAnsi="微软雅黑" w:eastAsia="微软雅黑" w:cs="微软雅黑"/>
                <w:sz w:val="18"/>
                <w:szCs w:val="18"/>
                <w:vertAlign w:val="baseline"/>
              </w:rPr>
            </w:pPr>
          </w:p>
        </w:tc>
        <w:tc>
          <w:tcPr>
            <w:tcW w:w="2465" w:type="dxa"/>
            <w:vAlign w:val="center"/>
          </w:tcPr>
          <w:p w14:paraId="2003B7FB">
            <w:pPr>
              <w:jc w:val="center"/>
              <w:rPr>
                <w:rFonts w:hint="eastAsia" w:ascii="微软雅黑" w:hAnsi="微软雅黑" w:eastAsia="微软雅黑" w:cs="微软雅黑"/>
                <w:sz w:val="18"/>
                <w:szCs w:val="18"/>
                <w:vertAlign w:val="baseline"/>
              </w:rPr>
            </w:pPr>
          </w:p>
        </w:tc>
        <w:tc>
          <w:tcPr>
            <w:tcW w:w="1350" w:type="dxa"/>
            <w:gridSpan w:val="3"/>
            <w:vAlign w:val="center"/>
          </w:tcPr>
          <w:p w14:paraId="4D597A10">
            <w:pPr>
              <w:jc w:val="center"/>
              <w:rPr>
                <w:rFonts w:hint="eastAsia" w:ascii="微软雅黑" w:hAnsi="微软雅黑" w:eastAsia="微软雅黑" w:cs="微软雅黑"/>
                <w:sz w:val="18"/>
                <w:szCs w:val="18"/>
                <w:vertAlign w:val="baseline"/>
              </w:rPr>
            </w:pPr>
          </w:p>
        </w:tc>
        <w:tc>
          <w:tcPr>
            <w:tcW w:w="1350" w:type="dxa"/>
            <w:gridSpan w:val="2"/>
            <w:vAlign w:val="center"/>
          </w:tcPr>
          <w:p w14:paraId="30D16774">
            <w:pPr>
              <w:jc w:val="center"/>
              <w:rPr>
                <w:rFonts w:hint="eastAsia" w:ascii="微软雅黑" w:hAnsi="微软雅黑" w:eastAsia="微软雅黑" w:cs="微软雅黑"/>
                <w:sz w:val="18"/>
                <w:szCs w:val="18"/>
                <w:vertAlign w:val="baseline"/>
              </w:rPr>
            </w:pPr>
          </w:p>
        </w:tc>
        <w:tc>
          <w:tcPr>
            <w:tcW w:w="1350" w:type="dxa"/>
            <w:vAlign w:val="center"/>
          </w:tcPr>
          <w:p w14:paraId="7497E01D">
            <w:pPr>
              <w:jc w:val="center"/>
              <w:rPr>
                <w:rFonts w:hint="eastAsia" w:ascii="微软雅黑" w:hAnsi="微软雅黑" w:eastAsia="微软雅黑" w:cs="微软雅黑"/>
                <w:sz w:val="18"/>
                <w:szCs w:val="18"/>
                <w:vertAlign w:val="baseline"/>
              </w:rPr>
            </w:pPr>
          </w:p>
        </w:tc>
        <w:tc>
          <w:tcPr>
            <w:tcW w:w="1350" w:type="dxa"/>
            <w:vAlign w:val="center"/>
          </w:tcPr>
          <w:p w14:paraId="491DBF80">
            <w:pPr>
              <w:jc w:val="center"/>
              <w:rPr>
                <w:rFonts w:hint="eastAsia" w:ascii="微软雅黑" w:hAnsi="微软雅黑" w:eastAsia="微软雅黑" w:cs="微软雅黑"/>
                <w:sz w:val="18"/>
                <w:szCs w:val="18"/>
                <w:vertAlign w:val="baseline"/>
              </w:rPr>
            </w:pPr>
          </w:p>
        </w:tc>
      </w:tr>
      <w:tr w14:paraId="0C729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61" w:type="dxa"/>
            <w:gridSpan w:val="2"/>
            <w:vAlign w:val="center"/>
          </w:tcPr>
          <w:p w14:paraId="6C7C8339">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4</w:t>
            </w:r>
          </w:p>
        </w:tc>
        <w:tc>
          <w:tcPr>
            <w:tcW w:w="1341" w:type="dxa"/>
            <w:gridSpan w:val="2"/>
            <w:vAlign w:val="center"/>
          </w:tcPr>
          <w:p w14:paraId="20EB7173">
            <w:pPr>
              <w:jc w:val="center"/>
              <w:rPr>
                <w:rFonts w:hint="eastAsia" w:ascii="微软雅黑" w:hAnsi="微软雅黑" w:eastAsia="微软雅黑" w:cs="微软雅黑"/>
                <w:sz w:val="18"/>
                <w:szCs w:val="18"/>
                <w:vertAlign w:val="baseline"/>
              </w:rPr>
            </w:pPr>
          </w:p>
        </w:tc>
        <w:tc>
          <w:tcPr>
            <w:tcW w:w="2465" w:type="dxa"/>
            <w:vAlign w:val="center"/>
          </w:tcPr>
          <w:p w14:paraId="2591CEBD">
            <w:pPr>
              <w:jc w:val="center"/>
              <w:rPr>
                <w:rFonts w:hint="eastAsia" w:ascii="微软雅黑" w:hAnsi="微软雅黑" w:eastAsia="微软雅黑" w:cs="微软雅黑"/>
                <w:sz w:val="18"/>
                <w:szCs w:val="18"/>
                <w:vertAlign w:val="baseline"/>
              </w:rPr>
            </w:pPr>
          </w:p>
        </w:tc>
        <w:tc>
          <w:tcPr>
            <w:tcW w:w="1350" w:type="dxa"/>
            <w:gridSpan w:val="3"/>
            <w:vAlign w:val="center"/>
          </w:tcPr>
          <w:p w14:paraId="45135B92">
            <w:pPr>
              <w:jc w:val="center"/>
              <w:rPr>
                <w:rFonts w:hint="eastAsia" w:ascii="微软雅黑" w:hAnsi="微软雅黑" w:eastAsia="微软雅黑" w:cs="微软雅黑"/>
                <w:sz w:val="18"/>
                <w:szCs w:val="18"/>
                <w:vertAlign w:val="baseline"/>
              </w:rPr>
            </w:pPr>
          </w:p>
        </w:tc>
        <w:tc>
          <w:tcPr>
            <w:tcW w:w="1350" w:type="dxa"/>
            <w:gridSpan w:val="2"/>
            <w:vAlign w:val="center"/>
          </w:tcPr>
          <w:p w14:paraId="55336DEB">
            <w:pPr>
              <w:jc w:val="center"/>
              <w:rPr>
                <w:rFonts w:hint="eastAsia" w:ascii="微软雅黑" w:hAnsi="微软雅黑" w:eastAsia="微软雅黑" w:cs="微软雅黑"/>
                <w:sz w:val="18"/>
                <w:szCs w:val="18"/>
                <w:vertAlign w:val="baseline"/>
              </w:rPr>
            </w:pPr>
          </w:p>
        </w:tc>
        <w:tc>
          <w:tcPr>
            <w:tcW w:w="1350" w:type="dxa"/>
            <w:vAlign w:val="center"/>
          </w:tcPr>
          <w:p w14:paraId="1BD0F81F">
            <w:pPr>
              <w:jc w:val="center"/>
              <w:rPr>
                <w:rFonts w:hint="eastAsia" w:ascii="微软雅黑" w:hAnsi="微软雅黑" w:eastAsia="微软雅黑" w:cs="微软雅黑"/>
                <w:sz w:val="18"/>
                <w:szCs w:val="18"/>
                <w:vertAlign w:val="baseline"/>
              </w:rPr>
            </w:pPr>
          </w:p>
        </w:tc>
        <w:tc>
          <w:tcPr>
            <w:tcW w:w="1350" w:type="dxa"/>
            <w:vAlign w:val="center"/>
          </w:tcPr>
          <w:p w14:paraId="59236E01">
            <w:pPr>
              <w:jc w:val="center"/>
              <w:rPr>
                <w:rFonts w:hint="eastAsia" w:ascii="微软雅黑" w:hAnsi="微软雅黑" w:eastAsia="微软雅黑" w:cs="微软雅黑"/>
                <w:sz w:val="18"/>
                <w:szCs w:val="18"/>
                <w:vertAlign w:val="baseline"/>
              </w:rPr>
            </w:pPr>
          </w:p>
        </w:tc>
      </w:tr>
      <w:tr w14:paraId="0A06E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61" w:type="dxa"/>
            <w:gridSpan w:val="2"/>
            <w:vAlign w:val="center"/>
          </w:tcPr>
          <w:p w14:paraId="644D5FF5">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5</w:t>
            </w:r>
          </w:p>
        </w:tc>
        <w:tc>
          <w:tcPr>
            <w:tcW w:w="1341" w:type="dxa"/>
            <w:gridSpan w:val="2"/>
            <w:vAlign w:val="center"/>
          </w:tcPr>
          <w:p w14:paraId="7401F329">
            <w:pPr>
              <w:jc w:val="center"/>
              <w:rPr>
                <w:rFonts w:hint="eastAsia" w:ascii="微软雅黑" w:hAnsi="微软雅黑" w:eastAsia="微软雅黑" w:cs="微软雅黑"/>
                <w:sz w:val="18"/>
                <w:szCs w:val="18"/>
                <w:vertAlign w:val="baseline"/>
              </w:rPr>
            </w:pPr>
          </w:p>
        </w:tc>
        <w:tc>
          <w:tcPr>
            <w:tcW w:w="2465" w:type="dxa"/>
            <w:vAlign w:val="center"/>
          </w:tcPr>
          <w:p w14:paraId="6C19329D">
            <w:pPr>
              <w:jc w:val="center"/>
              <w:rPr>
                <w:rFonts w:hint="eastAsia" w:ascii="微软雅黑" w:hAnsi="微软雅黑" w:eastAsia="微软雅黑" w:cs="微软雅黑"/>
                <w:sz w:val="18"/>
                <w:szCs w:val="18"/>
                <w:vertAlign w:val="baseline"/>
              </w:rPr>
            </w:pPr>
          </w:p>
        </w:tc>
        <w:tc>
          <w:tcPr>
            <w:tcW w:w="1350" w:type="dxa"/>
            <w:gridSpan w:val="3"/>
            <w:vAlign w:val="center"/>
          </w:tcPr>
          <w:p w14:paraId="739DC69B">
            <w:pPr>
              <w:jc w:val="center"/>
              <w:rPr>
                <w:rFonts w:hint="eastAsia" w:ascii="微软雅黑" w:hAnsi="微软雅黑" w:eastAsia="微软雅黑" w:cs="微软雅黑"/>
                <w:sz w:val="18"/>
                <w:szCs w:val="18"/>
                <w:vertAlign w:val="baseline"/>
              </w:rPr>
            </w:pPr>
          </w:p>
        </w:tc>
        <w:tc>
          <w:tcPr>
            <w:tcW w:w="1350" w:type="dxa"/>
            <w:gridSpan w:val="2"/>
            <w:vAlign w:val="center"/>
          </w:tcPr>
          <w:p w14:paraId="274691E0">
            <w:pPr>
              <w:jc w:val="center"/>
              <w:rPr>
                <w:rFonts w:hint="eastAsia" w:ascii="微软雅黑" w:hAnsi="微软雅黑" w:eastAsia="微软雅黑" w:cs="微软雅黑"/>
                <w:sz w:val="18"/>
                <w:szCs w:val="18"/>
                <w:vertAlign w:val="baseline"/>
              </w:rPr>
            </w:pPr>
          </w:p>
        </w:tc>
        <w:tc>
          <w:tcPr>
            <w:tcW w:w="1350" w:type="dxa"/>
            <w:vAlign w:val="center"/>
          </w:tcPr>
          <w:p w14:paraId="3C6009D1">
            <w:pPr>
              <w:jc w:val="center"/>
              <w:rPr>
                <w:rFonts w:hint="eastAsia" w:ascii="微软雅黑" w:hAnsi="微软雅黑" w:eastAsia="微软雅黑" w:cs="微软雅黑"/>
                <w:sz w:val="18"/>
                <w:szCs w:val="18"/>
                <w:vertAlign w:val="baseline"/>
              </w:rPr>
            </w:pPr>
          </w:p>
        </w:tc>
        <w:tc>
          <w:tcPr>
            <w:tcW w:w="1350" w:type="dxa"/>
            <w:vAlign w:val="center"/>
          </w:tcPr>
          <w:p w14:paraId="1F5CF534">
            <w:pPr>
              <w:jc w:val="center"/>
              <w:rPr>
                <w:rFonts w:hint="eastAsia" w:ascii="微软雅黑" w:hAnsi="微软雅黑" w:eastAsia="微软雅黑" w:cs="微软雅黑"/>
                <w:sz w:val="18"/>
                <w:szCs w:val="18"/>
                <w:vertAlign w:val="baseline"/>
              </w:rPr>
            </w:pPr>
          </w:p>
        </w:tc>
      </w:tr>
      <w:tr w14:paraId="2324B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61" w:type="dxa"/>
            <w:gridSpan w:val="2"/>
            <w:vAlign w:val="center"/>
          </w:tcPr>
          <w:p w14:paraId="56A5FBAA">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6</w:t>
            </w:r>
          </w:p>
        </w:tc>
        <w:tc>
          <w:tcPr>
            <w:tcW w:w="1341" w:type="dxa"/>
            <w:gridSpan w:val="2"/>
            <w:vAlign w:val="center"/>
          </w:tcPr>
          <w:p w14:paraId="010CCBE0">
            <w:pPr>
              <w:jc w:val="center"/>
              <w:rPr>
                <w:rFonts w:hint="eastAsia" w:ascii="微软雅黑" w:hAnsi="微软雅黑" w:eastAsia="微软雅黑" w:cs="微软雅黑"/>
                <w:sz w:val="18"/>
                <w:szCs w:val="18"/>
                <w:vertAlign w:val="baseline"/>
              </w:rPr>
            </w:pPr>
          </w:p>
        </w:tc>
        <w:tc>
          <w:tcPr>
            <w:tcW w:w="2465" w:type="dxa"/>
            <w:vAlign w:val="center"/>
          </w:tcPr>
          <w:p w14:paraId="712BBE9D">
            <w:pPr>
              <w:jc w:val="center"/>
              <w:rPr>
                <w:rFonts w:hint="eastAsia" w:ascii="微软雅黑" w:hAnsi="微软雅黑" w:eastAsia="微软雅黑" w:cs="微软雅黑"/>
                <w:sz w:val="18"/>
                <w:szCs w:val="18"/>
                <w:vertAlign w:val="baseline"/>
              </w:rPr>
            </w:pPr>
          </w:p>
        </w:tc>
        <w:tc>
          <w:tcPr>
            <w:tcW w:w="1350" w:type="dxa"/>
            <w:gridSpan w:val="3"/>
            <w:vAlign w:val="center"/>
          </w:tcPr>
          <w:p w14:paraId="3A466F86">
            <w:pPr>
              <w:jc w:val="center"/>
              <w:rPr>
                <w:rFonts w:hint="eastAsia" w:ascii="微软雅黑" w:hAnsi="微软雅黑" w:eastAsia="微软雅黑" w:cs="微软雅黑"/>
                <w:sz w:val="18"/>
                <w:szCs w:val="18"/>
                <w:vertAlign w:val="baseline"/>
              </w:rPr>
            </w:pPr>
          </w:p>
        </w:tc>
        <w:tc>
          <w:tcPr>
            <w:tcW w:w="1350" w:type="dxa"/>
            <w:gridSpan w:val="2"/>
            <w:vAlign w:val="center"/>
          </w:tcPr>
          <w:p w14:paraId="31CF47A0">
            <w:pPr>
              <w:jc w:val="center"/>
              <w:rPr>
                <w:rFonts w:hint="eastAsia" w:ascii="微软雅黑" w:hAnsi="微软雅黑" w:eastAsia="微软雅黑" w:cs="微软雅黑"/>
                <w:sz w:val="18"/>
                <w:szCs w:val="18"/>
                <w:vertAlign w:val="baseline"/>
              </w:rPr>
            </w:pPr>
          </w:p>
        </w:tc>
        <w:tc>
          <w:tcPr>
            <w:tcW w:w="1350" w:type="dxa"/>
            <w:vAlign w:val="center"/>
          </w:tcPr>
          <w:p w14:paraId="373A1A1C">
            <w:pPr>
              <w:jc w:val="center"/>
              <w:rPr>
                <w:rFonts w:hint="eastAsia" w:ascii="微软雅黑" w:hAnsi="微软雅黑" w:eastAsia="微软雅黑" w:cs="微软雅黑"/>
                <w:sz w:val="18"/>
                <w:szCs w:val="18"/>
                <w:vertAlign w:val="baseline"/>
              </w:rPr>
            </w:pPr>
          </w:p>
        </w:tc>
        <w:tc>
          <w:tcPr>
            <w:tcW w:w="1350" w:type="dxa"/>
            <w:vAlign w:val="center"/>
          </w:tcPr>
          <w:p w14:paraId="1EA34343">
            <w:pPr>
              <w:jc w:val="center"/>
              <w:rPr>
                <w:rFonts w:hint="eastAsia" w:ascii="微软雅黑" w:hAnsi="微软雅黑" w:eastAsia="微软雅黑" w:cs="微软雅黑"/>
                <w:sz w:val="18"/>
                <w:szCs w:val="18"/>
                <w:vertAlign w:val="baseline"/>
              </w:rPr>
            </w:pPr>
          </w:p>
        </w:tc>
      </w:tr>
      <w:tr w14:paraId="5B26B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61" w:type="dxa"/>
            <w:gridSpan w:val="2"/>
            <w:vAlign w:val="center"/>
          </w:tcPr>
          <w:p w14:paraId="7072E8B0">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7</w:t>
            </w:r>
          </w:p>
        </w:tc>
        <w:tc>
          <w:tcPr>
            <w:tcW w:w="1341" w:type="dxa"/>
            <w:gridSpan w:val="2"/>
            <w:vAlign w:val="center"/>
          </w:tcPr>
          <w:p w14:paraId="69438B2E">
            <w:pPr>
              <w:jc w:val="center"/>
              <w:rPr>
                <w:rFonts w:hint="eastAsia" w:ascii="微软雅黑" w:hAnsi="微软雅黑" w:eastAsia="微软雅黑" w:cs="微软雅黑"/>
                <w:sz w:val="18"/>
                <w:szCs w:val="18"/>
                <w:vertAlign w:val="baseline"/>
              </w:rPr>
            </w:pPr>
          </w:p>
        </w:tc>
        <w:tc>
          <w:tcPr>
            <w:tcW w:w="2465" w:type="dxa"/>
            <w:vAlign w:val="center"/>
          </w:tcPr>
          <w:p w14:paraId="0D9BA832">
            <w:pPr>
              <w:jc w:val="center"/>
              <w:rPr>
                <w:rFonts w:hint="eastAsia" w:ascii="微软雅黑" w:hAnsi="微软雅黑" w:eastAsia="微软雅黑" w:cs="微软雅黑"/>
                <w:sz w:val="18"/>
                <w:szCs w:val="18"/>
                <w:vertAlign w:val="baseline"/>
              </w:rPr>
            </w:pPr>
          </w:p>
        </w:tc>
        <w:tc>
          <w:tcPr>
            <w:tcW w:w="1350" w:type="dxa"/>
            <w:gridSpan w:val="3"/>
            <w:vAlign w:val="center"/>
          </w:tcPr>
          <w:p w14:paraId="4E888140">
            <w:pPr>
              <w:jc w:val="center"/>
              <w:rPr>
                <w:rFonts w:hint="eastAsia" w:ascii="微软雅黑" w:hAnsi="微软雅黑" w:eastAsia="微软雅黑" w:cs="微软雅黑"/>
                <w:sz w:val="18"/>
                <w:szCs w:val="18"/>
                <w:vertAlign w:val="baseline"/>
              </w:rPr>
            </w:pPr>
          </w:p>
        </w:tc>
        <w:tc>
          <w:tcPr>
            <w:tcW w:w="1350" w:type="dxa"/>
            <w:gridSpan w:val="2"/>
            <w:vAlign w:val="center"/>
          </w:tcPr>
          <w:p w14:paraId="38C7AFC4">
            <w:pPr>
              <w:jc w:val="center"/>
              <w:rPr>
                <w:rFonts w:hint="eastAsia" w:ascii="微软雅黑" w:hAnsi="微软雅黑" w:eastAsia="微软雅黑" w:cs="微软雅黑"/>
                <w:sz w:val="18"/>
                <w:szCs w:val="18"/>
                <w:vertAlign w:val="baseline"/>
              </w:rPr>
            </w:pPr>
          </w:p>
        </w:tc>
        <w:tc>
          <w:tcPr>
            <w:tcW w:w="1350" w:type="dxa"/>
            <w:vAlign w:val="center"/>
          </w:tcPr>
          <w:p w14:paraId="222B88FD">
            <w:pPr>
              <w:jc w:val="center"/>
              <w:rPr>
                <w:rFonts w:hint="eastAsia" w:ascii="微软雅黑" w:hAnsi="微软雅黑" w:eastAsia="微软雅黑" w:cs="微软雅黑"/>
                <w:sz w:val="18"/>
                <w:szCs w:val="18"/>
                <w:vertAlign w:val="baseline"/>
              </w:rPr>
            </w:pPr>
          </w:p>
        </w:tc>
        <w:tc>
          <w:tcPr>
            <w:tcW w:w="1350" w:type="dxa"/>
            <w:vAlign w:val="center"/>
          </w:tcPr>
          <w:p w14:paraId="7AE0C8FC">
            <w:pPr>
              <w:jc w:val="center"/>
              <w:rPr>
                <w:rFonts w:hint="eastAsia" w:ascii="微软雅黑" w:hAnsi="微软雅黑" w:eastAsia="微软雅黑" w:cs="微软雅黑"/>
                <w:sz w:val="18"/>
                <w:szCs w:val="18"/>
                <w:vertAlign w:val="baseline"/>
              </w:rPr>
            </w:pPr>
          </w:p>
        </w:tc>
      </w:tr>
      <w:tr w14:paraId="55AD2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61" w:type="dxa"/>
            <w:gridSpan w:val="2"/>
            <w:vAlign w:val="center"/>
          </w:tcPr>
          <w:p w14:paraId="79EBCEB0">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8</w:t>
            </w:r>
          </w:p>
        </w:tc>
        <w:tc>
          <w:tcPr>
            <w:tcW w:w="1341" w:type="dxa"/>
            <w:gridSpan w:val="2"/>
            <w:vAlign w:val="center"/>
          </w:tcPr>
          <w:p w14:paraId="26D2C3E1">
            <w:pPr>
              <w:jc w:val="center"/>
              <w:rPr>
                <w:rFonts w:hint="eastAsia" w:ascii="微软雅黑" w:hAnsi="微软雅黑" w:eastAsia="微软雅黑" w:cs="微软雅黑"/>
                <w:sz w:val="18"/>
                <w:szCs w:val="18"/>
                <w:vertAlign w:val="baseline"/>
              </w:rPr>
            </w:pPr>
          </w:p>
        </w:tc>
        <w:tc>
          <w:tcPr>
            <w:tcW w:w="2465" w:type="dxa"/>
            <w:vAlign w:val="center"/>
          </w:tcPr>
          <w:p w14:paraId="2741B0FB">
            <w:pPr>
              <w:jc w:val="center"/>
              <w:rPr>
                <w:rFonts w:hint="eastAsia" w:ascii="微软雅黑" w:hAnsi="微软雅黑" w:eastAsia="微软雅黑" w:cs="微软雅黑"/>
                <w:sz w:val="18"/>
                <w:szCs w:val="18"/>
                <w:vertAlign w:val="baseline"/>
              </w:rPr>
            </w:pPr>
          </w:p>
        </w:tc>
        <w:tc>
          <w:tcPr>
            <w:tcW w:w="1350" w:type="dxa"/>
            <w:gridSpan w:val="3"/>
            <w:vAlign w:val="center"/>
          </w:tcPr>
          <w:p w14:paraId="2BEB734B">
            <w:pPr>
              <w:jc w:val="center"/>
              <w:rPr>
                <w:rFonts w:hint="eastAsia" w:ascii="微软雅黑" w:hAnsi="微软雅黑" w:eastAsia="微软雅黑" w:cs="微软雅黑"/>
                <w:sz w:val="18"/>
                <w:szCs w:val="18"/>
                <w:vertAlign w:val="baseline"/>
              </w:rPr>
            </w:pPr>
          </w:p>
        </w:tc>
        <w:tc>
          <w:tcPr>
            <w:tcW w:w="1350" w:type="dxa"/>
            <w:gridSpan w:val="2"/>
            <w:vAlign w:val="center"/>
          </w:tcPr>
          <w:p w14:paraId="6C5BDA4E">
            <w:pPr>
              <w:jc w:val="center"/>
              <w:rPr>
                <w:rFonts w:hint="eastAsia" w:ascii="微软雅黑" w:hAnsi="微软雅黑" w:eastAsia="微软雅黑" w:cs="微软雅黑"/>
                <w:sz w:val="18"/>
                <w:szCs w:val="18"/>
                <w:vertAlign w:val="baseline"/>
              </w:rPr>
            </w:pPr>
          </w:p>
        </w:tc>
        <w:tc>
          <w:tcPr>
            <w:tcW w:w="1350" w:type="dxa"/>
            <w:vAlign w:val="center"/>
          </w:tcPr>
          <w:p w14:paraId="342FBD7B">
            <w:pPr>
              <w:jc w:val="center"/>
              <w:rPr>
                <w:rFonts w:hint="eastAsia" w:ascii="微软雅黑" w:hAnsi="微软雅黑" w:eastAsia="微软雅黑" w:cs="微软雅黑"/>
                <w:sz w:val="18"/>
                <w:szCs w:val="18"/>
                <w:vertAlign w:val="baseline"/>
              </w:rPr>
            </w:pPr>
          </w:p>
        </w:tc>
        <w:tc>
          <w:tcPr>
            <w:tcW w:w="1350" w:type="dxa"/>
            <w:vAlign w:val="center"/>
          </w:tcPr>
          <w:p w14:paraId="271C166E">
            <w:pPr>
              <w:jc w:val="center"/>
              <w:rPr>
                <w:rFonts w:hint="eastAsia" w:ascii="微软雅黑" w:hAnsi="微软雅黑" w:eastAsia="微软雅黑" w:cs="微软雅黑"/>
                <w:sz w:val="18"/>
                <w:szCs w:val="18"/>
                <w:vertAlign w:val="baseline"/>
              </w:rPr>
            </w:pPr>
          </w:p>
        </w:tc>
      </w:tr>
      <w:tr w14:paraId="2FDDA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61" w:type="dxa"/>
            <w:gridSpan w:val="2"/>
            <w:vAlign w:val="center"/>
          </w:tcPr>
          <w:p w14:paraId="16BC4A5C">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9</w:t>
            </w:r>
          </w:p>
        </w:tc>
        <w:tc>
          <w:tcPr>
            <w:tcW w:w="1341" w:type="dxa"/>
            <w:gridSpan w:val="2"/>
            <w:vAlign w:val="center"/>
          </w:tcPr>
          <w:p w14:paraId="0E7234C8">
            <w:pPr>
              <w:jc w:val="center"/>
              <w:rPr>
                <w:rFonts w:hint="eastAsia" w:ascii="微软雅黑" w:hAnsi="微软雅黑" w:eastAsia="微软雅黑" w:cs="微软雅黑"/>
                <w:sz w:val="18"/>
                <w:szCs w:val="18"/>
                <w:vertAlign w:val="baseline"/>
              </w:rPr>
            </w:pPr>
          </w:p>
        </w:tc>
        <w:tc>
          <w:tcPr>
            <w:tcW w:w="2465" w:type="dxa"/>
            <w:vAlign w:val="center"/>
          </w:tcPr>
          <w:p w14:paraId="064FBC55">
            <w:pPr>
              <w:jc w:val="center"/>
              <w:rPr>
                <w:rFonts w:hint="eastAsia" w:ascii="微软雅黑" w:hAnsi="微软雅黑" w:eastAsia="微软雅黑" w:cs="微软雅黑"/>
                <w:sz w:val="18"/>
                <w:szCs w:val="18"/>
                <w:vertAlign w:val="baseline"/>
              </w:rPr>
            </w:pPr>
          </w:p>
        </w:tc>
        <w:tc>
          <w:tcPr>
            <w:tcW w:w="1350" w:type="dxa"/>
            <w:gridSpan w:val="3"/>
            <w:vAlign w:val="center"/>
          </w:tcPr>
          <w:p w14:paraId="6EA851B0">
            <w:pPr>
              <w:jc w:val="center"/>
              <w:rPr>
                <w:rFonts w:hint="eastAsia" w:ascii="微软雅黑" w:hAnsi="微软雅黑" w:eastAsia="微软雅黑" w:cs="微软雅黑"/>
                <w:sz w:val="18"/>
                <w:szCs w:val="18"/>
                <w:vertAlign w:val="baseline"/>
              </w:rPr>
            </w:pPr>
          </w:p>
        </w:tc>
        <w:tc>
          <w:tcPr>
            <w:tcW w:w="1350" w:type="dxa"/>
            <w:gridSpan w:val="2"/>
            <w:vAlign w:val="center"/>
          </w:tcPr>
          <w:p w14:paraId="2B696645">
            <w:pPr>
              <w:jc w:val="center"/>
              <w:rPr>
                <w:rFonts w:hint="eastAsia" w:ascii="微软雅黑" w:hAnsi="微软雅黑" w:eastAsia="微软雅黑" w:cs="微软雅黑"/>
                <w:sz w:val="18"/>
                <w:szCs w:val="18"/>
                <w:vertAlign w:val="baseline"/>
              </w:rPr>
            </w:pPr>
          </w:p>
        </w:tc>
        <w:tc>
          <w:tcPr>
            <w:tcW w:w="1350" w:type="dxa"/>
            <w:vAlign w:val="center"/>
          </w:tcPr>
          <w:p w14:paraId="352799C4">
            <w:pPr>
              <w:jc w:val="center"/>
              <w:rPr>
                <w:rFonts w:hint="eastAsia" w:ascii="微软雅黑" w:hAnsi="微软雅黑" w:eastAsia="微软雅黑" w:cs="微软雅黑"/>
                <w:sz w:val="18"/>
                <w:szCs w:val="18"/>
                <w:vertAlign w:val="baseline"/>
              </w:rPr>
            </w:pPr>
          </w:p>
        </w:tc>
        <w:tc>
          <w:tcPr>
            <w:tcW w:w="1350" w:type="dxa"/>
            <w:vAlign w:val="center"/>
          </w:tcPr>
          <w:p w14:paraId="5C967163">
            <w:pPr>
              <w:jc w:val="center"/>
              <w:rPr>
                <w:rFonts w:hint="eastAsia" w:ascii="微软雅黑" w:hAnsi="微软雅黑" w:eastAsia="微软雅黑" w:cs="微软雅黑"/>
                <w:sz w:val="18"/>
                <w:szCs w:val="18"/>
                <w:vertAlign w:val="baseline"/>
              </w:rPr>
            </w:pPr>
          </w:p>
        </w:tc>
      </w:tr>
      <w:tr w14:paraId="538B6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61" w:type="dxa"/>
            <w:gridSpan w:val="2"/>
            <w:vAlign w:val="center"/>
          </w:tcPr>
          <w:p w14:paraId="4FC61F38">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10</w:t>
            </w:r>
          </w:p>
        </w:tc>
        <w:tc>
          <w:tcPr>
            <w:tcW w:w="1341" w:type="dxa"/>
            <w:gridSpan w:val="2"/>
            <w:vAlign w:val="center"/>
          </w:tcPr>
          <w:p w14:paraId="13248F4F">
            <w:pPr>
              <w:jc w:val="center"/>
              <w:rPr>
                <w:rFonts w:hint="eastAsia" w:ascii="微软雅黑" w:hAnsi="微软雅黑" w:eastAsia="微软雅黑" w:cs="微软雅黑"/>
                <w:sz w:val="18"/>
                <w:szCs w:val="18"/>
                <w:vertAlign w:val="baseline"/>
              </w:rPr>
            </w:pPr>
          </w:p>
        </w:tc>
        <w:tc>
          <w:tcPr>
            <w:tcW w:w="2465" w:type="dxa"/>
            <w:vAlign w:val="center"/>
          </w:tcPr>
          <w:p w14:paraId="2971F7B8">
            <w:pPr>
              <w:jc w:val="center"/>
              <w:rPr>
                <w:rFonts w:hint="eastAsia" w:ascii="微软雅黑" w:hAnsi="微软雅黑" w:eastAsia="微软雅黑" w:cs="微软雅黑"/>
                <w:sz w:val="18"/>
                <w:szCs w:val="18"/>
                <w:vertAlign w:val="baseline"/>
              </w:rPr>
            </w:pPr>
          </w:p>
        </w:tc>
        <w:tc>
          <w:tcPr>
            <w:tcW w:w="1350" w:type="dxa"/>
            <w:gridSpan w:val="3"/>
            <w:vAlign w:val="center"/>
          </w:tcPr>
          <w:p w14:paraId="2692F1B1">
            <w:pPr>
              <w:jc w:val="center"/>
              <w:rPr>
                <w:rFonts w:hint="eastAsia" w:ascii="微软雅黑" w:hAnsi="微软雅黑" w:eastAsia="微软雅黑" w:cs="微软雅黑"/>
                <w:sz w:val="18"/>
                <w:szCs w:val="18"/>
                <w:vertAlign w:val="baseline"/>
              </w:rPr>
            </w:pPr>
          </w:p>
        </w:tc>
        <w:tc>
          <w:tcPr>
            <w:tcW w:w="1350" w:type="dxa"/>
            <w:gridSpan w:val="2"/>
            <w:vAlign w:val="center"/>
          </w:tcPr>
          <w:p w14:paraId="1D6DE817">
            <w:pPr>
              <w:jc w:val="center"/>
              <w:rPr>
                <w:rFonts w:hint="eastAsia" w:ascii="微软雅黑" w:hAnsi="微软雅黑" w:eastAsia="微软雅黑" w:cs="微软雅黑"/>
                <w:sz w:val="18"/>
                <w:szCs w:val="18"/>
                <w:vertAlign w:val="baseline"/>
              </w:rPr>
            </w:pPr>
          </w:p>
        </w:tc>
        <w:tc>
          <w:tcPr>
            <w:tcW w:w="1350" w:type="dxa"/>
            <w:vAlign w:val="center"/>
          </w:tcPr>
          <w:p w14:paraId="7594ECE5">
            <w:pPr>
              <w:jc w:val="center"/>
              <w:rPr>
                <w:rFonts w:hint="eastAsia" w:ascii="微软雅黑" w:hAnsi="微软雅黑" w:eastAsia="微软雅黑" w:cs="微软雅黑"/>
                <w:sz w:val="18"/>
                <w:szCs w:val="18"/>
                <w:vertAlign w:val="baseline"/>
              </w:rPr>
            </w:pPr>
          </w:p>
        </w:tc>
        <w:tc>
          <w:tcPr>
            <w:tcW w:w="1350" w:type="dxa"/>
            <w:vAlign w:val="center"/>
          </w:tcPr>
          <w:p w14:paraId="11C57F29">
            <w:pPr>
              <w:jc w:val="center"/>
              <w:rPr>
                <w:rFonts w:hint="eastAsia" w:ascii="微软雅黑" w:hAnsi="微软雅黑" w:eastAsia="微软雅黑" w:cs="微软雅黑"/>
                <w:sz w:val="18"/>
                <w:szCs w:val="18"/>
                <w:vertAlign w:val="baseline"/>
              </w:rPr>
            </w:pPr>
          </w:p>
        </w:tc>
      </w:tr>
      <w:tr w14:paraId="0EE79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202" w:type="dxa"/>
            <w:gridSpan w:val="4"/>
            <w:vAlign w:val="center"/>
          </w:tcPr>
          <w:p w14:paraId="194B8ECE">
            <w:pPr>
              <w:jc w:val="center"/>
              <w:rPr>
                <w:rFonts w:hint="eastAsia" w:ascii="微软雅黑" w:hAnsi="微软雅黑" w:eastAsia="微软雅黑" w:cs="微软雅黑"/>
                <w:b/>
                <w:bCs/>
                <w:sz w:val="18"/>
                <w:szCs w:val="18"/>
                <w:vertAlign w:val="baseline"/>
                <w:lang w:eastAsia="zh-CN"/>
              </w:rPr>
            </w:pPr>
            <w:r>
              <w:rPr>
                <w:rFonts w:hint="eastAsia" w:ascii="微软雅黑" w:hAnsi="微软雅黑" w:eastAsia="微软雅黑" w:cs="微软雅黑"/>
                <w:b/>
                <w:bCs/>
                <w:sz w:val="18"/>
                <w:szCs w:val="18"/>
                <w:vertAlign w:val="baseline"/>
                <w:lang w:eastAsia="zh-CN"/>
              </w:rPr>
              <w:t>合计</w:t>
            </w:r>
          </w:p>
        </w:tc>
        <w:tc>
          <w:tcPr>
            <w:tcW w:w="7865" w:type="dxa"/>
            <w:gridSpan w:val="8"/>
            <w:vAlign w:val="center"/>
          </w:tcPr>
          <w:p w14:paraId="4CC5FBB2">
            <w:pPr>
              <w:jc w:val="left"/>
              <w:rPr>
                <w:rFonts w:hint="eastAsia" w:ascii="微软雅黑" w:hAnsi="微软雅黑" w:eastAsia="微软雅黑" w:cs="微软雅黑"/>
                <w:b/>
                <w:bCs/>
                <w:sz w:val="18"/>
                <w:szCs w:val="18"/>
                <w:vertAlign w:val="baseline"/>
                <w:lang w:eastAsia="zh-CN"/>
              </w:rPr>
            </w:pPr>
          </w:p>
        </w:tc>
      </w:tr>
      <w:tr w14:paraId="0783C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8" w:hRule="atLeast"/>
        </w:trPr>
        <w:tc>
          <w:tcPr>
            <w:tcW w:w="617" w:type="dxa"/>
            <w:vAlign w:val="center"/>
          </w:tcPr>
          <w:p w14:paraId="4C63CCA9">
            <w:pPr>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备注</w:t>
            </w:r>
          </w:p>
        </w:tc>
        <w:tc>
          <w:tcPr>
            <w:tcW w:w="9450" w:type="dxa"/>
            <w:gridSpan w:val="11"/>
            <w:vAlign w:val="center"/>
          </w:tcPr>
          <w:p w14:paraId="02A86AA2">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交货地点：使用场地。</w:t>
            </w:r>
          </w:p>
          <w:p w14:paraId="58D9C792">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发票：按照买方要求开据增值税专用发票</w:t>
            </w:r>
          </w:p>
          <w:p w14:paraId="63701EAE">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保修期：以签定的合同为准</w:t>
            </w:r>
          </w:p>
          <w:p w14:paraId="2C52E1DA">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有效期：60天</w:t>
            </w:r>
          </w:p>
          <w:p w14:paraId="27789E01">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详细参数见附件</w:t>
            </w:r>
          </w:p>
          <w:p w14:paraId="5002BFB3">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6、附件基本参数中提到的所有品牌指“类似但不限于”</w:t>
            </w:r>
          </w:p>
        </w:tc>
      </w:tr>
    </w:tbl>
    <w:tbl>
      <w:tblPr>
        <w:tblStyle w:val="7"/>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985"/>
        <w:gridCol w:w="850"/>
        <w:gridCol w:w="2693"/>
        <w:gridCol w:w="2835"/>
      </w:tblGrid>
      <w:tr w14:paraId="411BD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704" w:type="dxa"/>
            <w:vAlign w:val="center"/>
          </w:tcPr>
          <w:p w14:paraId="0FF1CF28">
            <w:pPr>
              <w:spacing w:line="360" w:lineRule="auto"/>
              <w:jc w:val="center"/>
              <w:rPr>
                <w:rFonts w:hint="eastAsia" w:ascii="宋体" w:hAnsi="宋体"/>
              </w:rPr>
            </w:pPr>
            <w:bookmarkStart w:id="0" w:name="_Toc18221"/>
            <w:bookmarkStart w:id="1" w:name="_Toc24227"/>
            <w:bookmarkStart w:id="2" w:name="_Toc5112167"/>
            <w:bookmarkStart w:id="3" w:name="_Toc2153"/>
            <w:r>
              <w:rPr>
                <w:rFonts w:hint="eastAsia" w:ascii="宋体" w:hAnsi="宋体"/>
              </w:rPr>
              <w:t>序号</w:t>
            </w:r>
          </w:p>
        </w:tc>
        <w:tc>
          <w:tcPr>
            <w:tcW w:w="1985" w:type="dxa"/>
            <w:vAlign w:val="center"/>
          </w:tcPr>
          <w:p w14:paraId="4AA4FC3C">
            <w:pPr>
              <w:spacing w:line="360" w:lineRule="auto"/>
              <w:jc w:val="center"/>
              <w:rPr>
                <w:rFonts w:hint="eastAsia" w:ascii="宋体" w:hAnsi="宋体"/>
              </w:rPr>
            </w:pPr>
            <w:r>
              <w:rPr>
                <w:rFonts w:hint="eastAsia" w:ascii="宋体" w:hAnsi="宋体"/>
              </w:rPr>
              <w:t>货物名称</w:t>
            </w:r>
          </w:p>
        </w:tc>
        <w:tc>
          <w:tcPr>
            <w:tcW w:w="850" w:type="dxa"/>
            <w:vAlign w:val="center"/>
          </w:tcPr>
          <w:p w14:paraId="366D674F">
            <w:pPr>
              <w:spacing w:line="360" w:lineRule="auto"/>
              <w:jc w:val="center"/>
              <w:rPr>
                <w:rFonts w:hint="eastAsia" w:ascii="宋体" w:hAnsi="宋体"/>
              </w:rPr>
            </w:pPr>
            <w:r>
              <w:rPr>
                <w:rFonts w:hint="eastAsia" w:ascii="宋体" w:hAnsi="宋体"/>
              </w:rPr>
              <w:t>数量</w:t>
            </w:r>
          </w:p>
        </w:tc>
        <w:tc>
          <w:tcPr>
            <w:tcW w:w="2693" w:type="dxa"/>
            <w:vAlign w:val="center"/>
          </w:tcPr>
          <w:p w14:paraId="1E210F8D">
            <w:pPr>
              <w:spacing w:line="360" w:lineRule="auto"/>
              <w:jc w:val="center"/>
              <w:rPr>
                <w:rFonts w:hint="eastAsia" w:ascii="宋体" w:hAnsi="宋体"/>
              </w:rPr>
            </w:pPr>
            <w:r>
              <w:rPr>
                <w:rFonts w:hint="eastAsia" w:ascii="宋体" w:hAnsi="宋体"/>
              </w:rPr>
              <w:t>交货期</w:t>
            </w:r>
          </w:p>
        </w:tc>
        <w:tc>
          <w:tcPr>
            <w:tcW w:w="2835" w:type="dxa"/>
            <w:vAlign w:val="center"/>
          </w:tcPr>
          <w:p w14:paraId="755E637E">
            <w:pPr>
              <w:spacing w:line="360" w:lineRule="auto"/>
              <w:jc w:val="center"/>
              <w:rPr>
                <w:rFonts w:hint="eastAsia" w:ascii="宋体" w:hAnsi="宋体"/>
              </w:rPr>
            </w:pPr>
            <w:r>
              <w:rPr>
                <w:rFonts w:hint="eastAsia" w:ascii="宋体" w:hAnsi="宋体"/>
              </w:rPr>
              <w:t>交货地点</w:t>
            </w:r>
          </w:p>
        </w:tc>
      </w:tr>
      <w:tr w14:paraId="276A4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atLeast"/>
          <w:jc w:val="center"/>
        </w:trPr>
        <w:tc>
          <w:tcPr>
            <w:tcW w:w="704" w:type="dxa"/>
            <w:vAlign w:val="center"/>
          </w:tcPr>
          <w:p w14:paraId="656274ED">
            <w:pPr>
              <w:spacing w:before="78" w:beforeLines="25" w:line="360" w:lineRule="auto"/>
              <w:jc w:val="center"/>
              <w:rPr>
                <w:rFonts w:hint="eastAsia" w:ascii="宋体" w:hAnsi="宋体" w:cs="宋体"/>
                <w:kern w:val="0"/>
              </w:rPr>
            </w:pPr>
            <w:r>
              <w:rPr>
                <w:rFonts w:hint="eastAsia" w:ascii="宋体" w:hAnsi="宋体" w:cs="宋体"/>
              </w:rPr>
              <w:t>1</w:t>
            </w:r>
          </w:p>
        </w:tc>
        <w:tc>
          <w:tcPr>
            <w:tcW w:w="1985" w:type="dxa"/>
            <w:vAlign w:val="center"/>
          </w:tcPr>
          <w:p w14:paraId="0D2C9532">
            <w:pPr>
              <w:pStyle w:val="12"/>
              <w:spacing w:line="360" w:lineRule="auto"/>
              <w:jc w:val="center"/>
              <w:rPr>
                <w:rFonts w:hint="eastAsia" w:ascii="宋体" w:hAnsi="宋体"/>
                <w:sz w:val="21"/>
              </w:rPr>
            </w:pPr>
            <w:r>
              <w:rPr>
                <w:rFonts w:hint="eastAsia" w:ascii="宋体" w:hAnsi="宋体"/>
                <w:sz w:val="21"/>
              </w:rPr>
              <w:t>数控不落轮镟床</w:t>
            </w:r>
          </w:p>
        </w:tc>
        <w:tc>
          <w:tcPr>
            <w:tcW w:w="850" w:type="dxa"/>
            <w:vAlign w:val="center"/>
          </w:tcPr>
          <w:p w14:paraId="026464A0">
            <w:pPr>
              <w:widowControl/>
              <w:spacing w:line="360" w:lineRule="auto"/>
              <w:jc w:val="center"/>
              <w:rPr>
                <w:rFonts w:hint="eastAsia" w:ascii="宋体" w:hAnsi="宋体" w:cs="宋体"/>
                <w:kern w:val="0"/>
              </w:rPr>
            </w:pPr>
            <w:r>
              <w:rPr>
                <w:rFonts w:hint="eastAsia" w:ascii="宋体" w:hAnsi="宋体" w:cs="宋体"/>
                <w:kern w:val="0"/>
              </w:rPr>
              <w:t>1套</w:t>
            </w:r>
          </w:p>
        </w:tc>
        <w:tc>
          <w:tcPr>
            <w:tcW w:w="2693" w:type="dxa"/>
            <w:vAlign w:val="center"/>
          </w:tcPr>
          <w:p w14:paraId="60751036">
            <w:pPr>
              <w:pStyle w:val="12"/>
              <w:rPr>
                <w:rFonts w:hint="eastAsia" w:ascii="宋体" w:hAnsi="宋体"/>
                <w:sz w:val="21"/>
              </w:rPr>
            </w:pPr>
            <w:r>
              <w:rPr>
                <w:rFonts w:hint="eastAsia" w:ascii="宋体" w:hAnsi="宋体"/>
                <w:sz w:val="21"/>
                <w:szCs w:val="22"/>
              </w:rPr>
              <w:t>2025年12月30日（暂定)</w:t>
            </w:r>
          </w:p>
        </w:tc>
        <w:tc>
          <w:tcPr>
            <w:tcW w:w="2835" w:type="dxa"/>
            <w:vAlign w:val="center"/>
          </w:tcPr>
          <w:p w14:paraId="05FBC968">
            <w:pPr>
              <w:spacing w:line="360" w:lineRule="auto"/>
              <w:jc w:val="center"/>
              <w:rPr>
                <w:rFonts w:hint="eastAsia" w:ascii="宋体" w:hAnsi="宋体"/>
              </w:rPr>
            </w:pPr>
            <w:r>
              <w:rPr>
                <w:rFonts w:hint="eastAsia" w:ascii="宋体" w:hAnsi="宋体"/>
              </w:rPr>
              <w:t>哈尔滨地铁安通街车辆基地</w:t>
            </w:r>
          </w:p>
        </w:tc>
      </w:tr>
    </w:tbl>
    <w:p w14:paraId="32382372">
      <w:pPr>
        <w:adjustRightInd w:val="0"/>
        <w:snapToGrid w:val="0"/>
        <w:rPr>
          <w:rFonts w:hint="eastAsia" w:asciiTheme="minorEastAsia" w:hAnsiTheme="minorEastAsia"/>
          <w:bCs/>
          <w:szCs w:val="21"/>
        </w:rPr>
      </w:pPr>
      <w:bookmarkStart w:id="4" w:name="_Toc38273390"/>
    </w:p>
    <w:p w14:paraId="2EB49CD0">
      <w:pPr>
        <w:pStyle w:val="11"/>
        <w:jc w:val="center"/>
        <w:rPr>
          <w:rFonts w:hint="eastAsia" w:ascii="宋体" w:hAnsi="宋体"/>
          <w:sz w:val="21"/>
        </w:rPr>
      </w:pPr>
      <w:r>
        <w:rPr>
          <w:rFonts w:hint="eastAsia" w:ascii="宋体" w:hAnsi="宋体"/>
          <w:sz w:val="21"/>
        </w:rPr>
        <w:t>技术要求</w:t>
      </w:r>
      <w:bookmarkEnd w:id="4"/>
    </w:p>
    <w:p w14:paraId="61F0AD94">
      <w:pPr>
        <w:pStyle w:val="11"/>
        <w:rPr>
          <w:rFonts w:hint="eastAsia" w:ascii="宋体" w:hAnsi="宋体"/>
          <w:sz w:val="21"/>
        </w:rPr>
      </w:pPr>
      <w:bookmarkStart w:id="5" w:name="_Toc38273391"/>
      <w:r>
        <w:rPr>
          <w:rFonts w:hint="eastAsia" w:ascii="宋体" w:hAnsi="宋体"/>
          <w:sz w:val="21"/>
        </w:rPr>
        <w:t>1.工程概况</w:t>
      </w:r>
      <w:bookmarkEnd w:id="0"/>
      <w:bookmarkEnd w:id="1"/>
      <w:bookmarkEnd w:id="2"/>
      <w:bookmarkEnd w:id="3"/>
      <w:bookmarkEnd w:id="5"/>
    </w:p>
    <w:p w14:paraId="693FF4AF">
      <w:pPr>
        <w:adjustRightInd w:val="0"/>
        <w:snapToGrid w:val="0"/>
        <w:spacing w:line="360" w:lineRule="auto"/>
        <w:ind w:left="210" w:leftChars="100" w:firstLine="420" w:firstLineChars="200"/>
        <w:rPr>
          <w:rFonts w:hint="eastAsia" w:asciiTheme="minorEastAsia" w:hAnsiTheme="minorEastAsia"/>
          <w:bCs/>
          <w:szCs w:val="21"/>
        </w:rPr>
      </w:pPr>
      <w:r>
        <w:rPr>
          <w:rFonts w:hint="eastAsia" w:asciiTheme="minorEastAsia" w:hAnsiTheme="minorEastAsia"/>
          <w:bCs/>
          <w:szCs w:val="21"/>
        </w:rPr>
        <w:t>哈尔滨市轨道交通3号线为环线，全长约37.6km，全线共设车站36座。3号线二期工程是3号线环线的一部分，在一期工程终点医大二院站向东延伸至一期起点城乡路站，线路正线全长约32km，共含车站31座，均为地下站；采用B2型车6辆编组，接触网供电；设一座车辆基地，为安通街车辆基地（上盖物业开发），位于香坊区，占地面积约32公顷。</w:t>
      </w:r>
    </w:p>
    <w:p w14:paraId="559AC952">
      <w:pPr>
        <w:adjustRightInd w:val="0"/>
        <w:snapToGrid w:val="0"/>
        <w:spacing w:line="360" w:lineRule="auto"/>
        <w:ind w:left="210" w:firstLine="418"/>
        <w:rPr>
          <w:rFonts w:hint="eastAsia" w:ascii="宋体" w:hAnsi="宋体"/>
        </w:rPr>
      </w:pPr>
      <w:r>
        <w:rPr>
          <w:rFonts w:hint="eastAsia" w:ascii="宋体" w:hAnsi="宋体"/>
          <w:b/>
        </w:rPr>
        <w:t>数控型不落轮镟床</w:t>
      </w:r>
      <w:r>
        <w:rPr>
          <w:rFonts w:hint="eastAsia" w:ascii="宋体" w:hAnsi="宋体"/>
        </w:rPr>
        <w:t>用于列车在整列编组不解体情况下，对本工程选用的轨距为1435mm的地铁车辆及轨道车、平板车等工程车轮对的轮缘和踏面的修理加工，并适用于对单个带轴箱轮对的修理加工。以上轮对的修理加工均在不拆卸任何零件情况下进行，相关</w:t>
      </w:r>
      <w:r>
        <w:rPr>
          <w:rFonts w:ascii="宋体" w:hAnsi="宋体"/>
        </w:rPr>
        <w:t>轨道车辆的技术参数在设计联络时提供</w:t>
      </w:r>
      <w:r>
        <w:rPr>
          <w:rFonts w:hint="eastAsia" w:ascii="宋体" w:hAnsi="宋体"/>
        </w:rPr>
        <w:t>。</w:t>
      </w:r>
    </w:p>
    <w:p w14:paraId="2E2A3046">
      <w:pPr>
        <w:pStyle w:val="11"/>
        <w:rPr>
          <w:rFonts w:hint="eastAsia" w:ascii="宋体" w:hAnsi="宋体"/>
          <w:sz w:val="21"/>
        </w:rPr>
      </w:pPr>
      <w:bookmarkStart w:id="6" w:name="_Toc38273392"/>
      <w:bookmarkStart w:id="7" w:name="_Toc26845"/>
      <w:bookmarkStart w:id="8" w:name="_Toc30134"/>
      <w:bookmarkStart w:id="9" w:name="_Toc5112168"/>
      <w:bookmarkStart w:id="10" w:name="_Toc27104"/>
      <w:r>
        <w:rPr>
          <w:rFonts w:hint="eastAsia" w:ascii="宋体" w:hAnsi="宋体"/>
          <w:sz w:val="21"/>
        </w:rPr>
        <w:t>2.招标要求</w:t>
      </w:r>
      <w:bookmarkEnd w:id="6"/>
      <w:bookmarkEnd w:id="7"/>
      <w:bookmarkEnd w:id="8"/>
      <w:bookmarkEnd w:id="9"/>
      <w:bookmarkEnd w:id="10"/>
    </w:p>
    <w:p w14:paraId="238AACF9">
      <w:pPr>
        <w:numPr>
          <w:ilvl w:val="1"/>
          <w:numId w:val="2"/>
        </w:numPr>
        <w:adjustRightInd w:val="0"/>
        <w:snapToGrid w:val="0"/>
        <w:spacing w:line="360" w:lineRule="auto"/>
        <w:rPr>
          <w:rFonts w:hint="eastAsia" w:ascii="宋体" w:hAnsi="宋体"/>
        </w:rPr>
      </w:pPr>
      <w:r>
        <w:rPr>
          <w:rFonts w:hint="eastAsia" w:ascii="宋体" w:hAnsi="宋体" w:cs="Arial"/>
          <w:bCs/>
          <w:lang w:eastAsia="zh-CN"/>
        </w:rPr>
        <w:t>供应商</w:t>
      </w:r>
      <w:r>
        <w:rPr>
          <w:rFonts w:hint="eastAsia" w:ascii="宋体" w:hAnsi="宋体" w:cs="Arial"/>
          <w:bCs/>
        </w:rPr>
        <w:t>提供全新、完整符合合同要求的</w:t>
      </w:r>
      <w:r>
        <w:rPr>
          <w:rFonts w:hint="eastAsia" w:ascii="宋体" w:hAnsi="宋体"/>
        </w:rPr>
        <w:t>。设备项目采用“交钥匙工程”方式供货。本项目采购设备如下表所示：</w:t>
      </w:r>
    </w:p>
    <w:tbl>
      <w:tblPr>
        <w:tblStyle w:val="7"/>
        <w:tblW w:w="85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1343"/>
        <w:gridCol w:w="1134"/>
        <w:gridCol w:w="1417"/>
        <w:gridCol w:w="2978"/>
      </w:tblGrid>
      <w:tr w14:paraId="27AE17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1691" w:type="dxa"/>
            <w:vAlign w:val="center"/>
          </w:tcPr>
          <w:p w14:paraId="1A1A8122">
            <w:pPr>
              <w:pStyle w:val="12"/>
              <w:spacing w:line="360" w:lineRule="auto"/>
              <w:jc w:val="center"/>
              <w:rPr>
                <w:rFonts w:hint="eastAsia" w:ascii="宋体" w:hAnsi="宋体"/>
                <w:sz w:val="21"/>
              </w:rPr>
            </w:pPr>
            <w:r>
              <w:rPr>
                <w:rFonts w:hint="eastAsia" w:ascii="宋体" w:hAnsi="宋体"/>
                <w:sz w:val="21"/>
              </w:rPr>
              <w:t>设备名称</w:t>
            </w:r>
          </w:p>
        </w:tc>
        <w:tc>
          <w:tcPr>
            <w:tcW w:w="1343" w:type="dxa"/>
            <w:vAlign w:val="center"/>
          </w:tcPr>
          <w:p w14:paraId="05D8C36E">
            <w:pPr>
              <w:pStyle w:val="12"/>
              <w:spacing w:line="360" w:lineRule="auto"/>
              <w:jc w:val="center"/>
              <w:rPr>
                <w:rFonts w:hint="eastAsia" w:ascii="宋体" w:hAnsi="宋体"/>
                <w:sz w:val="21"/>
              </w:rPr>
            </w:pPr>
            <w:r>
              <w:rPr>
                <w:rFonts w:hint="eastAsia" w:ascii="宋体" w:hAnsi="宋体"/>
                <w:sz w:val="21"/>
              </w:rPr>
              <w:t>型号、规格</w:t>
            </w:r>
          </w:p>
        </w:tc>
        <w:tc>
          <w:tcPr>
            <w:tcW w:w="1134" w:type="dxa"/>
            <w:vAlign w:val="center"/>
          </w:tcPr>
          <w:p w14:paraId="67CE10C6">
            <w:pPr>
              <w:pStyle w:val="12"/>
              <w:spacing w:line="360" w:lineRule="auto"/>
              <w:jc w:val="center"/>
              <w:rPr>
                <w:rFonts w:hint="eastAsia" w:ascii="宋体" w:hAnsi="宋体"/>
                <w:sz w:val="21"/>
              </w:rPr>
            </w:pPr>
            <w:r>
              <w:rPr>
                <w:rFonts w:hint="eastAsia" w:ascii="宋体" w:hAnsi="宋体"/>
                <w:sz w:val="21"/>
              </w:rPr>
              <w:t>数量</w:t>
            </w:r>
          </w:p>
        </w:tc>
        <w:tc>
          <w:tcPr>
            <w:tcW w:w="1417" w:type="dxa"/>
            <w:vAlign w:val="center"/>
          </w:tcPr>
          <w:p w14:paraId="67667683">
            <w:pPr>
              <w:pStyle w:val="12"/>
              <w:spacing w:line="360" w:lineRule="auto"/>
              <w:jc w:val="center"/>
              <w:rPr>
                <w:rFonts w:hint="eastAsia" w:ascii="宋体" w:hAnsi="宋体"/>
                <w:sz w:val="21"/>
              </w:rPr>
            </w:pPr>
            <w:r>
              <w:rPr>
                <w:rFonts w:hint="eastAsia" w:ascii="宋体" w:hAnsi="宋体"/>
                <w:sz w:val="21"/>
              </w:rPr>
              <w:t>单位</w:t>
            </w:r>
          </w:p>
        </w:tc>
        <w:tc>
          <w:tcPr>
            <w:tcW w:w="2978" w:type="dxa"/>
            <w:vAlign w:val="center"/>
          </w:tcPr>
          <w:p w14:paraId="60DD5FB9">
            <w:pPr>
              <w:pStyle w:val="12"/>
              <w:spacing w:line="360" w:lineRule="auto"/>
              <w:jc w:val="center"/>
              <w:rPr>
                <w:rFonts w:hint="eastAsia" w:ascii="宋体" w:hAnsi="宋体"/>
                <w:sz w:val="21"/>
              </w:rPr>
            </w:pPr>
            <w:r>
              <w:rPr>
                <w:rFonts w:hint="eastAsia" w:ascii="宋体" w:hAnsi="宋体"/>
                <w:sz w:val="21"/>
              </w:rPr>
              <w:t>附注</w:t>
            </w:r>
          </w:p>
        </w:tc>
      </w:tr>
      <w:tr w14:paraId="10D632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Align w:val="center"/>
          </w:tcPr>
          <w:p w14:paraId="5CD2B90E">
            <w:pPr>
              <w:pStyle w:val="12"/>
              <w:spacing w:line="360" w:lineRule="auto"/>
              <w:jc w:val="center"/>
              <w:rPr>
                <w:rFonts w:hint="eastAsia" w:ascii="宋体" w:hAnsi="宋体"/>
                <w:sz w:val="21"/>
              </w:rPr>
            </w:pPr>
            <w:r>
              <w:rPr>
                <w:rFonts w:hint="eastAsia" w:ascii="宋体" w:hAnsi="宋体"/>
                <w:sz w:val="21"/>
              </w:rPr>
              <w:t>数控不落轮镟床</w:t>
            </w:r>
          </w:p>
        </w:tc>
        <w:tc>
          <w:tcPr>
            <w:tcW w:w="1343" w:type="dxa"/>
            <w:vAlign w:val="center"/>
          </w:tcPr>
          <w:p w14:paraId="1B123BC9">
            <w:pPr>
              <w:pStyle w:val="12"/>
              <w:spacing w:line="360" w:lineRule="auto"/>
              <w:jc w:val="center"/>
              <w:rPr>
                <w:rFonts w:hint="eastAsia" w:ascii="宋体" w:hAnsi="宋体"/>
                <w:sz w:val="21"/>
              </w:rPr>
            </w:pPr>
          </w:p>
        </w:tc>
        <w:tc>
          <w:tcPr>
            <w:tcW w:w="1134" w:type="dxa"/>
            <w:vAlign w:val="center"/>
          </w:tcPr>
          <w:p w14:paraId="258C3E80">
            <w:pPr>
              <w:pStyle w:val="12"/>
              <w:spacing w:line="360" w:lineRule="auto"/>
              <w:jc w:val="center"/>
              <w:rPr>
                <w:rFonts w:hint="eastAsia" w:ascii="宋体" w:hAnsi="宋体"/>
                <w:sz w:val="21"/>
              </w:rPr>
            </w:pPr>
            <w:r>
              <w:rPr>
                <w:rFonts w:hint="eastAsia" w:ascii="宋体" w:hAnsi="宋体"/>
                <w:sz w:val="21"/>
              </w:rPr>
              <w:t>1</w:t>
            </w:r>
          </w:p>
        </w:tc>
        <w:tc>
          <w:tcPr>
            <w:tcW w:w="1417" w:type="dxa"/>
            <w:vAlign w:val="center"/>
          </w:tcPr>
          <w:p w14:paraId="10467BFC">
            <w:pPr>
              <w:pStyle w:val="12"/>
              <w:spacing w:line="360" w:lineRule="auto"/>
              <w:jc w:val="center"/>
              <w:rPr>
                <w:rFonts w:hint="eastAsia" w:ascii="宋体" w:hAnsi="宋体"/>
                <w:sz w:val="21"/>
              </w:rPr>
            </w:pPr>
            <w:r>
              <w:rPr>
                <w:rFonts w:hint="eastAsia" w:ascii="宋体" w:hAnsi="宋体"/>
                <w:sz w:val="21"/>
              </w:rPr>
              <w:t>套</w:t>
            </w:r>
          </w:p>
        </w:tc>
        <w:tc>
          <w:tcPr>
            <w:tcW w:w="2978" w:type="dxa"/>
            <w:vAlign w:val="center"/>
          </w:tcPr>
          <w:p w14:paraId="7B0F30F5">
            <w:pPr>
              <w:pStyle w:val="12"/>
              <w:spacing w:line="360" w:lineRule="auto"/>
              <w:jc w:val="center"/>
              <w:rPr>
                <w:rFonts w:hint="eastAsia" w:ascii="宋体" w:hAnsi="宋体"/>
                <w:sz w:val="21"/>
              </w:rPr>
            </w:pPr>
            <w:r>
              <w:rPr>
                <w:rFonts w:hint="eastAsia" w:ascii="宋体" w:hAnsi="宋体"/>
                <w:sz w:val="21"/>
              </w:rPr>
              <w:t>位于镟轮库</w:t>
            </w:r>
          </w:p>
        </w:tc>
      </w:tr>
    </w:tbl>
    <w:p w14:paraId="046E39A0">
      <w:pPr>
        <w:spacing w:line="360" w:lineRule="auto"/>
        <w:ind w:left="420" w:hanging="420" w:hangingChars="200"/>
        <w:rPr>
          <w:rFonts w:hint="eastAsia" w:ascii="宋体" w:hAnsi="宋体"/>
        </w:rPr>
      </w:pPr>
      <w:r>
        <w:rPr>
          <w:rFonts w:hint="eastAsia" w:ascii="宋体" w:hAnsi="宋体"/>
        </w:rPr>
        <w:t>2.2根据“设备技术要求”在投标文件中提出详细和完整的技术规格建议书，否则将视为不响应。</w:t>
      </w:r>
    </w:p>
    <w:p w14:paraId="13A56753">
      <w:pPr>
        <w:spacing w:line="360" w:lineRule="auto"/>
        <w:ind w:left="420" w:hanging="420" w:hangingChars="200"/>
        <w:rPr>
          <w:rFonts w:hint="eastAsia" w:ascii="宋体" w:hAnsi="宋体"/>
        </w:rPr>
      </w:pPr>
      <w:r>
        <w:rPr>
          <w:rFonts w:hint="eastAsia" w:ascii="宋体" w:hAnsi="宋体"/>
        </w:rPr>
        <w:t>2.3</w:t>
      </w:r>
      <w:r>
        <w:rPr>
          <w:rFonts w:hint="eastAsia" w:ascii="宋体" w:hAnsi="宋体"/>
          <w:lang w:eastAsia="zh-CN"/>
        </w:rPr>
        <w:t>供应商</w:t>
      </w:r>
      <w:r>
        <w:rPr>
          <w:rFonts w:hint="eastAsia" w:ascii="宋体" w:hAnsi="宋体"/>
        </w:rPr>
        <w:t>投标书应包括：设备设计、设计联络、制造检查、出厂验收、包装运输、安装调试、竣工验收、技术培训和售后服务等所有内容及报价。</w:t>
      </w:r>
    </w:p>
    <w:p w14:paraId="4B799778">
      <w:pPr>
        <w:spacing w:line="360" w:lineRule="auto"/>
        <w:rPr>
          <w:rFonts w:hint="eastAsia" w:ascii="宋体" w:hAnsi="宋体"/>
        </w:rPr>
      </w:pPr>
      <w:r>
        <w:rPr>
          <w:rFonts w:hint="eastAsia" w:ascii="宋体" w:hAnsi="宋体"/>
        </w:rPr>
        <w:t>2.4交货时间：2025年12月30日（暂定)。</w:t>
      </w:r>
    </w:p>
    <w:p w14:paraId="12B4B8E7">
      <w:pPr>
        <w:adjustRightInd w:val="0"/>
        <w:snapToGrid w:val="0"/>
        <w:spacing w:line="360" w:lineRule="auto"/>
        <w:rPr>
          <w:rFonts w:hint="eastAsia" w:ascii="宋体" w:hAnsi="宋体" w:cs="Arial"/>
          <w:bCs/>
        </w:rPr>
      </w:pPr>
      <w:r>
        <w:rPr>
          <w:rFonts w:hint="eastAsia" w:ascii="宋体" w:hAnsi="宋体" w:cs="Arial"/>
          <w:bCs/>
        </w:rPr>
        <w:t>2.5</w:t>
      </w:r>
      <w:r>
        <w:rPr>
          <w:rFonts w:hint="eastAsia" w:ascii="宋体" w:hAnsi="宋体"/>
        </w:rPr>
        <w:t>交货地点：哈尔滨地铁安通街车辆基地。</w:t>
      </w:r>
    </w:p>
    <w:p w14:paraId="3A263562">
      <w:pPr>
        <w:pStyle w:val="11"/>
        <w:rPr>
          <w:rFonts w:hint="eastAsia" w:ascii="宋体" w:hAnsi="宋体"/>
          <w:sz w:val="21"/>
        </w:rPr>
      </w:pPr>
      <w:bookmarkStart w:id="11" w:name="_Toc5112169"/>
      <w:bookmarkStart w:id="12" w:name="_Toc23713"/>
      <w:bookmarkStart w:id="13" w:name="_Toc38273393"/>
      <w:bookmarkStart w:id="14" w:name="_Toc12690"/>
      <w:bookmarkStart w:id="15" w:name="_Toc3374"/>
      <w:r>
        <w:rPr>
          <w:rFonts w:hint="eastAsia" w:ascii="宋体" w:hAnsi="宋体"/>
          <w:sz w:val="21"/>
        </w:rPr>
        <w:t>3.使用标准</w:t>
      </w:r>
      <w:bookmarkEnd w:id="11"/>
      <w:bookmarkEnd w:id="12"/>
      <w:bookmarkEnd w:id="13"/>
      <w:bookmarkEnd w:id="14"/>
      <w:bookmarkEnd w:id="15"/>
    </w:p>
    <w:p w14:paraId="66DAC4AB">
      <w:pPr>
        <w:adjustRightInd w:val="0"/>
        <w:snapToGrid w:val="0"/>
        <w:spacing w:line="360" w:lineRule="auto"/>
        <w:ind w:left="841" w:hanging="841" w:hangingChars="399"/>
        <w:rPr>
          <w:rFonts w:hint="eastAsia" w:ascii="宋体" w:hAnsi="宋体" w:cs="Arial"/>
          <w:b/>
          <w:bCs/>
        </w:rPr>
      </w:pPr>
      <w:r>
        <w:rPr>
          <w:rFonts w:hint="eastAsia" w:ascii="宋体" w:hAnsi="宋体" w:cs="Arial"/>
          <w:b/>
          <w:bCs/>
        </w:rPr>
        <w:t>注：以下数控不落轮镟床统称：设备。</w:t>
      </w:r>
    </w:p>
    <w:p w14:paraId="71B7CCAE">
      <w:pPr>
        <w:adjustRightInd w:val="0"/>
        <w:snapToGrid w:val="0"/>
        <w:spacing w:line="360" w:lineRule="auto"/>
        <w:ind w:left="420" w:hanging="420" w:hangingChars="200"/>
        <w:rPr>
          <w:rFonts w:hint="eastAsia" w:ascii="宋体" w:hAnsi="宋体" w:cs="Arial"/>
          <w:bCs/>
        </w:rPr>
      </w:pPr>
      <w:r>
        <w:rPr>
          <w:rFonts w:hint="eastAsia" w:ascii="宋体" w:hAnsi="宋体" w:cs="Arial"/>
          <w:bCs/>
        </w:rPr>
        <w:t>3.1设备的设计、制造必须符合国际标准IEC、ISO、UIC、国家标准GB、行业标准、地方标</w:t>
      </w:r>
    </w:p>
    <w:p w14:paraId="33341304">
      <w:pPr>
        <w:adjustRightInd w:val="0"/>
        <w:snapToGrid w:val="0"/>
        <w:spacing w:line="360" w:lineRule="auto"/>
        <w:ind w:left="420" w:leftChars="200"/>
        <w:rPr>
          <w:rFonts w:hint="eastAsia" w:ascii="宋体" w:hAnsi="宋体" w:cs="Arial"/>
          <w:bCs/>
        </w:rPr>
      </w:pPr>
      <w:r>
        <w:rPr>
          <w:rFonts w:hint="eastAsia" w:ascii="宋体" w:hAnsi="宋体" w:cs="Arial"/>
          <w:bCs/>
        </w:rPr>
        <w:t>准及规定。</w:t>
      </w:r>
    </w:p>
    <w:p w14:paraId="6FCA5831">
      <w:pPr>
        <w:adjustRightInd w:val="0"/>
        <w:snapToGrid w:val="0"/>
        <w:spacing w:line="360" w:lineRule="auto"/>
        <w:rPr>
          <w:rFonts w:hint="eastAsia" w:ascii="宋体" w:hAnsi="宋体" w:cs="Arial"/>
          <w:bCs/>
        </w:rPr>
      </w:pPr>
      <w:r>
        <w:rPr>
          <w:rFonts w:hint="eastAsia" w:ascii="宋体" w:hAnsi="宋体" w:cs="Arial"/>
          <w:bCs/>
        </w:rPr>
        <w:t>3.2</w:t>
      </w:r>
      <w:r>
        <w:rPr>
          <w:rFonts w:hint="eastAsia" w:ascii="宋体" w:hAnsi="宋体" w:cs="Arial"/>
          <w:bCs/>
          <w:lang w:eastAsia="zh-CN"/>
        </w:rPr>
        <w:t>供应商</w:t>
      </w:r>
      <w:r>
        <w:rPr>
          <w:rFonts w:hint="eastAsia" w:ascii="宋体" w:hAnsi="宋体" w:cs="Arial"/>
          <w:bCs/>
        </w:rPr>
        <w:t>应提供投标设备所采用的设计、制造、试验、测试、验收等相关标准的目录。</w:t>
      </w:r>
    </w:p>
    <w:p w14:paraId="40A6448A">
      <w:pPr>
        <w:adjustRightInd w:val="0"/>
        <w:snapToGrid w:val="0"/>
        <w:spacing w:line="360" w:lineRule="auto"/>
        <w:rPr>
          <w:rFonts w:hint="eastAsia" w:ascii="宋体" w:hAnsi="宋体" w:cs="Arial"/>
          <w:bCs/>
        </w:rPr>
      </w:pPr>
      <w:r>
        <w:rPr>
          <w:rFonts w:hint="eastAsia" w:ascii="宋体" w:hAnsi="宋体" w:cs="Arial"/>
          <w:bCs/>
        </w:rPr>
        <w:t>3.3单位制</w:t>
      </w:r>
    </w:p>
    <w:p w14:paraId="45A03BF9">
      <w:pPr>
        <w:adjustRightInd w:val="0"/>
        <w:snapToGrid w:val="0"/>
        <w:spacing w:line="360" w:lineRule="auto"/>
        <w:ind w:firstLine="420" w:firstLineChars="200"/>
        <w:rPr>
          <w:rFonts w:hint="eastAsia" w:ascii="宋体" w:hAnsi="宋体" w:cs="Arial"/>
          <w:bCs/>
        </w:rPr>
      </w:pPr>
      <w:r>
        <w:rPr>
          <w:rFonts w:hint="eastAsia" w:ascii="宋体" w:hAnsi="宋体" w:cs="Arial"/>
          <w:bCs/>
          <w:lang w:eastAsia="zh-CN"/>
        </w:rPr>
        <w:t>供应商</w:t>
      </w:r>
      <w:r>
        <w:rPr>
          <w:rFonts w:hint="eastAsia" w:ascii="宋体" w:hAnsi="宋体" w:cs="Arial"/>
          <w:bCs/>
        </w:rPr>
        <w:t>在投标文件的编制、设备的设计、制造、及所有技术文件和图纸中应采用公制。</w:t>
      </w:r>
    </w:p>
    <w:p w14:paraId="2F299121">
      <w:pPr>
        <w:pStyle w:val="11"/>
        <w:rPr>
          <w:rFonts w:hint="eastAsia" w:ascii="宋体" w:hAnsi="宋体"/>
          <w:sz w:val="21"/>
        </w:rPr>
      </w:pPr>
      <w:bookmarkStart w:id="16" w:name="_Toc23990"/>
      <w:bookmarkStart w:id="17" w:name="_Toc955"/>
      <w:bookmarkStart w:id="18" w:name="_Toc38273394"/>
      <w:bookmarkStart w:id="19" w:name="_Toc22238"/>
      <w:bookmarkStart w:id="20" w:name="_Toc5112170"/>
      <w:r>
        <w:rPr>
          <w:rFonts w:hint="eastAsia" w:ascii="宋体" w:hAnsi="宋体"/>
          <w:sz w:val="21"/>
        </w:rPr>
        <w:t>4.设备工作条件</w:t>
      </w:r>
      <w:bookmarkEnd w:id="16"/>
      <w:bookmarkEnd w:id="17"/>
      <w:bookmarkEnd w:id="18"/>
      <w:bookmarkEnd w:id="19"/>
      <w:bookmarkEnd w:id="20"/>
    </w:p>
    <w:p w14:paraId="68B17860">
      <w:pPr>
        <w:pStyle w:val="5"/>
        <w:adjustRightInd w:val="0"/>
        <w:snapToGrid w:val="0"/>
        <w:ind w:firstLine="0"/>
        <w:rPr>
          <w:rFonts w:hint="eastAsia" w:cs="Arial"/>
          <w:b/>
          <w:sz w:val="21"/>
          <w:szCs w:val="21"/>
        </w:rPr>
      </w:pPr>
      <w:bookmarkStart w:id="21" w:name="_Toc13992"/>
      <w:r>
        <w:rPr>
          <w:rFonts w:hint="eastAsia" w:cs="Arial"/>
          <w:b/>
          <w:sz w:val="21"/>
          <w:szCs w:val="21"/>
        </w:rPr>
        <w:t>4.1环境条件</w:t>
      </w:r>
      <w:bookmarkEnd w:id="21"/>
    </w:p>
    <w:p w14:paraId="7B63EF76">
      <w:pPr>
        <w:pStyle w:val="5"/>
        <w:adjustRightInd w:val="0"/>
        <w:snapToGrid w:val="0"/>
        <w:ind w:left="630" w:hanging="630" w:hangingChars="300"/>
        <w:rPr>
          <w:rFonts w:hint="eastAsia"/>
          <w:sz w:val="21"/>
          <w:szCs w:val="21"/>
        </w:rPr>
      </w:pPr>
      <w:r>
        <w:rPr>
          <w:rFonts w:hint="eastAsia" w:cs="Arial"/>
          <w:sz w:val="21"/>
          <w:szCs w:val="21"/>
        </w:rPr>
        <w:t>4.1.1</w:t>
      </w:r>
      <w:r>
        <w:rPr>
          <w:rFonts w:cs="Arial"/>
          <w:sz w:val="21"/>
          <w:szCs w:val="21"/>
        </w:rPr>
        <w:t>数控不落轮镟床安装在哈尔滨地铁</w:t>
      </w:r>
      <w:r>
        <w:rPr>
          <w:rFonts w:hint="eastAsia" w:cs="Arial"/>
          <w:sz w:val="21"/>
          <w:szCs w:val="21"/>
        </w:rPr>
        <w:t>3</w:t>
      </w:r>
      <w:r>
        <w:rPr>
          <w:rFonts w:cs="Arial"/>
          <w:sz w:val="21"/>
          <w:szCs w:val="21"/>
        </w:rPr>
        <w:t>号线</w:t>
      </w:r>
      <w:r>
        <w:rPr>
          <w:rFonts w:hint="eastAsia"/>
          <w:sz w:val="21"/>
          <w:szCs w:val="21"/>
        </w:rPr>
        <w:t>安通街车辆基地</w:t>
      </w:r>
      <w:r>
        <w:rPr>
          <w:rFonts w:hint="eastAsia" w:cs="Arial"/>
          <w:sz w:val="21"/>
          <w:szCs w:val="21"/>
        </w:rPr>
        <w:t>镟轮</w:t>
      </w:r>
      <w:r>
        <w:rPr>
          <w:rFonts w:cs="Arial"/>
          <w:sz w:val="21"/>
          <w:szCs w:val="21"/>
        </w:rPr>
        <w:t>库内</w:t>
      </w:r>
      <w:r>
        <w:rPr>
          <w:rFonts w:hint="eastAsia" w:cs="Arial"/>
          <w:sz w:val="21"/>
          <w:szCs w:val="21"/>
        </w:rPr>
        <w:t>（详见附件“镟轮库示意图”）</w:t>
      </w:r>
      <w:r>
        <w:rPr>
          <w:rFonts w:cs="Arial"/>
          <w:sz w:val="21"/>
          <w:szCs w:val="21"/>
        </w:rPr>
        <w:t>。</w:t>
      </w:r>
      <w:r>
        <w:rPr>
          <w:rFonts w:hint="eastAsia"/>
          <w:sz w:val="21"/>
          <w:szCs w:val="21"/>
        </w:rPr>
        <w:t>镟轮库轴线尺寸为276</w:t>
      </w:r>
      <w:r>
        <w:rPr>
          <w:sz w:val="21"/>
          <w:szCs w:val="21"/>
        </w:rPr>
        <w:t>m</w:t>
      </w:r>
      <w:r>
        <w:rPr>
          <w:rFonts w:hint="eastAsia"/>
          <w:sz w:val="21"/>
          <w:szCs w:val="21"/>
        </w:rPr>
        <w:t>×12</w:t>
      </w:r>
      <w:r>
        <w:rPr>
          <w:sz w:val="21"/>
          <w:szCs w:val="21"/>
        </w:rPr>
        <w:t>m</w:t>
      </w:r>
      <w:r>
        <w:rPr>
          <w:rFonts w:hint="eastAsia"/>
          <w:sz w:val="21"/>
          <w:szCs w:val="21"/>
        </w:rPr>
        <w:t>，列车走行线路中心距车间侧墙轴线距离</w:t>
      </w:r>
      <w:r>
        <w:rPr>
          <w:rFonts w:cs="Arial"/>
          <w:sz w:val="21"/>
          <w:szCs w:val="21"/>
        </w:rPr>
        <w:t>为6m，库内设有</w:t>
      </w:r>
      <w:r>
        <w:rPr>
          <w:rFonts w:hint="eastAsia" w:cs="Arial"/>
          <w:sz w:val="21"/>
          <w:szCs w:val="21"/>
        </w:rPr>
        <w:t>2.8t起重机</w:t>
      </w:r>
      <w:r>
        <w:rPr>
          <w:rFonts w:hint="eastAsia"/>
          <w:sz w:val="21"/>
          <w:szCs w:val="21"/>
        </w:rPr>
        <w:t>（直行轨高度6m）</w:t>
      </w:r>
      <w:r>
        <w:rPr>
          <w:rFonts w:cs="Arial"/>
          <w:sz w:val="21"/>
          <w:szCs w:val="21"/>
        </w:rPr>
        <w:t>。</w:t>
      </w:r>
    </w:p>
    <w:p w14:paraId="43E673FC">
      <w:pPr>
        <w:pStyle w:val="5"/>
        <w:adjustRightInd w:val="0"/>
        <w:snapToGrid w:val="0"/>
        <w:ind w:firstLine="0"/>
        <w:rPr>
          <w:rFonts w:hint="eastAsia" w:cs="Arial"/>
          <w:sz w:val="21"/>
          <w:szCs w:val="21"/>
        </w:rPr>
      </w:pPr>
      <w:r>
        <w:rPr>
          <w:rFonts w:hint="eastAsia" w:cs="Arial"/>
          <w:sz w:val="21"/>
          <w:szCs w:val="21"/>
        </w:rPr>
        <w:t>4.1.2</w:t>
      </w:r>
      <w:r>
        <w:rPr>
          <w:rFonts w:cs="Arial"/>
          <w:sz w:val="21"/>
          <w:szCs w:val="21"/>
        </w:rPr>
        <w:t>库内不设接触网，列车牵引对位作业由</w:t>
      </w:r>
      <w:r>
        <w:rPr>
          <w:rFonts w:hint="eastAsia" w:cs="Arial"/>
          <w:sz w:val="21"/>
          <w:szCs w:val="21"/>
        </w:rPr>
        <w:t>公铁两用车</w:t>
      </w:r>
      <w:r>
        <w:rPr>
          <w:rFonts w:cs="Arial"/>
          <w:sz w:val="21"/>
          <w:szCs w:val="21"/>
        </w:rPr>
        <w:t>完成。</w:t>
      </w:r>
    </w:p>
    <w:p w14:paraId="7AFC5699">
      <w:pPr>
        <w:spacing w:line="360" w:lineRule="auto"/>
        <w:rPr>
          <w:rFonts w:hint="eastAsia" w:ascii="宋体" w:hAnsi="宋体"/>
        </w:rPr>
      </w:pPr>
      <w:r>
        <w:rPr>
          <w:rFonts w:hint="eastAsia" w:ascii="宋体" w:hAnsi="宋体"/>
        </w:rPr>
        <w:t>※</w:t>
      </w:r>
      <w:r>
        <w:rPr>
          <w:rFonts w:hint="eastAsia" w:ascii="宋体" w:hAnsi="宋体" w:cs="Arial"/>
        </w:rPr>
        <w:t>4.1.3</w:t>
      </w:r>
      <w:r>
        <w:rPr>
          <w:rFonts w:hint="eastAsia" w:ascii="宋体" w:hAnsi="宋体"/>
        </w:rPr>
        <w:t>库内及库外线路为平直线（库外直线段大</w:t>
      </w:r>
      <w:r>
        <w:rPr>
          <w:rFonts w:hint="eastAsia" w:ascii="宋体" w:hAnsi="宋体"/>
          <w:szCs w:val="21"/>
        </w:rPr>
        <w:t>于10m）。</w:t>
      </w:r>
    </w:p>
    <w:p w14:paraId="3D93136F">
      <w:pPr>
        <w:pStyle w:val="5"/>
        <w:adjustRightInd w:val="0"/>
        <w:snapToGrid w:val="0"/>
        <w:ind w:firstLine="0"/>
        <w:rPr>
          <w:rFonts w:hint="eastAsia"/>
          <w:sz w:val="21"/>
          <w:szCs w:val="21"/>
        </w:rPr>
      </w:pPr>
      <w:r>
        <w:rPr>
          <w:rFonts w:hint="eastAsia"/>
          <w:sz w:val="21"/>
          <w:szCs w:val="21"/>
        </w:rPr>
        <w:t>4.1.4车间提供电源</w:t>
      </w:r>
      <w:r>
        <w:rPr>
          <w:rFonts w:hint="eastAsia"/>
          <w:sz w:val="21"/>
          <w:szCs w:val="21"/>
        </w:rPr>
        <w:tab/>
      </w:r>
      <w:r>
        <w:rPr>
          <w:rFonts w:hint="eastAsia"/>
          <w:sz w:val="21"/>
          <w:szCs w:val="21"/>
        </w:rPr>
        <w:tab/>
      </w:r>
      <w:r>
        <w:rPr>
          <w:rFonts w:hint="eastAsia"/>
          <w:sz w:val="21"/>
          <w:szCs w:val="21"/>
        </w:rPr>
        <w:tab/>
      </w:r>
      <w:r>
        <w:rPr>
          <w:rFonts w:hint="eastAsia"/>
          <w:sz w:val="21"/>
          <w:szCs w:val="21"/>
        </w:rPr>
        <w:tab/>
      </w:r>
      <w:r>
        <w:rPr>
          <w:rFonts w:hint="eastAsia"/>
          <w:sz w:val="21"/>
          <w:szCs w:val="21"/>
        </w:rPr>
        <w:tab/>
      </w:r>
      <w:r>
        <w:rPr>
          <w:rFonts w:hint="eastAsia"/>
          <w:sz w:val="21"/>
          <w:szCs w:val="21"/>
        </w:rPr>
        <w:tab/>
      </w:r>
      <w:r>
        <w:rPr>
          <w:rFonts w:hint="eastAsia"/>
          <w:sz w:val="21"/>
          <w:szCs w:val="21"/>
        </w:rPr>
        <w:tab/>
      </w:r>
      <w:r>
        <w:rPr>
          <w:rFonts w:hint="eastAsia"/>
          <w:sz w:val="21"/>
          <w:szCs w:val="21"/>
        </w:rPr>
        <w:tab/>
      </w:r>
      <w:r>
        <w:rPr>
          <w:rFonts w:hint="eastAsia"/>
          <w:sz w:val="21"/>
          <w:szCs w:val="21"/>
        </w:rPr>
        <w:tab/>
      </w:r>
      <w:r>
        <w:rPr>
          <w:rFonts w:hint="eastAsia"/>
          <w:sz w:val="21"/>
          <w:szCs w:val="21"/>
        </w:rPr>
        <w:tab/>
      </w:r>
      <w:r>
        <w:rPr>
          <w:rFonts w:hint="eastAsia"/>
          <w:sz w:val="21"/>
          <w:szCs w:val="21"/>
        </w:rPr>
        <w:t>AC220V/380V（±10%）50Hz</w:t>
      </w:r>
    </w:p>
    <w:p w14:paraId="4E5D59DF">
      <w:pPr>
        <w:spacing w:line="360" w:lineRule="auto"/>
        <w:rPr>
          <w:rFonts w:hint="eastAsia" w:ascii="宋体" w:hAnsi="宋体"/>
        </w:rPr>
      </w:pPr>
      <w:r>
        <w:rPr>
          <w:rFonts w:hint="eastAsia" w:ascii="宋体" w:hAnsi="宋体"/>
        </w:rPr>
        <w:t>4.1.5要求设备在下列环境中能正常运行</w:t>
      </w:r>
    </w:p>
    <w:p w14:paraId="6E4DA3F7">
      <w:pPr>
        <w:spacing w:line="360" w:lineRule="auto"/>
        <w:ind w:left="700" w:firstLine="420" w:firstLineChars="200"/>
        <w:rPr>
          <w:rFonts w:hint="eastAsia" w:ascii="宋体" w:hAnsi="宋体"/>
        </w:rPr>
      </w:pPr>
      <w:r>
        <w:rPr>
          <w:rFonts w:hint="eastAsia" w:ascii="宋体" w:hAnsi="宋体"/>
        </w:rPr>
        <w:t>温度：</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-2℃～40℃</w:t>
      </w:r>
    </w:p>
    <w:p w14:paraId="33982069">
      <w:pPr>
        <w:spacing w:line="360" w:lineRule="auto"/>
        <w:ind w:left="700" w:firstLine="420" w:firstLineChars="200"/>
        <w:rPr>
          <w:rFonts w:hint="eastAsia" w:ascii="宋体" w:hAnsi="宋体"/>
        </w:rPr>
      </w:pPr>
      <w:r>
        <w:rPr>
          <w:rFonts w:hint="eastAsia" w:ascii="宋体" w:hAnsi="宋体"/>
        </w:rPr>
        <w:t>湿度：</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90％</w:t>
      </w:r>
    </w:p>
    <w:p w14:paraId="6E20225A">
      <w:pPr>
        <w:spacing w:line="360" w:lineRule="auto"/>
        <w:rPr>
          <w:rFonts w:hint="eastAsia" w:ascii="宋体" w:hAnsi="宋体"/>
        </w:rPr>
      </w:pPr>
      <w:r>
        <w:rPr>
          <w:rFonts w:hint="eastAsia" w:ascii="宋体" w:hAnsi="宋体"/>
        </w:rPr>
        <w:t>4.1.6如设备有供气需求，设备需自带空压机。</w:t>
      </w:r>
    </w:p>
    <w:p w14:paraId="61D2B81A">
      <w:pPr>
        <w:pStyle w:val="5"/>
        <w:adjustRightInd w:val="0"/>
        <w:snapToGrid w:val="0"/>
        <w:ind w:firstLine="0"/>
        <w:rPr>
          <w:rFonts w:hint="eastAsia" w:cs="Arial"/>
          <w:b/>
          <w:sz w:val="21"/>
          <w:szCs w:val="21"/>
        </w:rPr>
      </w:pPr>
      <w:bookmarkStart w:id="22" w:name="_Toc12761"/>
      <w:r>
        <w:rPr>
          <w:rFonts w:hint="eastAsia" w:cs="Arial"/>
          <w:b/>
          <w:sz w:val="21"/>
          <w:szCs w:val="21"/>
        </w:rPr>
        <w:t>4.2气候条件</w:t>
      </w:r>
      <w:bookmarkEnd w:id="22"/>
    </w:p>
    <w:p w14:paraId="6BED9C61">
      <w:pPr>
        <w:pStyle w:val="5"/>
        <w:adjustRightInd w:val="0"/>
        <w:snapToGrid w:val="0"/>
        <w:rPr>
          <w:rFonts w:hint="eastAsia" w:cs="Arial"/>
          <w:b/>
          <w:sz w:val="21"/>
          <w:szCs w:val="21"/>
        </w:rPr>
      </w:pPr>
      <w:r>
        <w:rPr>
          <w:sz w:val="21"/>
          <w:szCs w:val="21"/>
        </w:rPr>
        <w:t>设备应满足下表哈尔滨地区环境气候条件</w:t>
      </w:r>
      <w:r>
        <w:rPr>
          <w:rFonts w:hint="eastAsia"/>
          <w:sz w:val="21"/>
          <w:szCs w:val="21"/>
        </w:rPr>
        <w:t>：</w:t>
      </w:r>
    </w:p>
    <w:tbl>
      <w:tblPr>
        <w:tblStyle w:val="7"/>
        <w:tblW w:w="7425" w:type="dxa"/>
        <w:tblInd w:w="6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4"/>
        <w:gridCol w:w="2621"/>
      </w:tblGrid>
      <w:tr w14:paraId="0D784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4" w:type="dxa"/>
            <w:vAlign w:val="center"/>
          </w:tcPr>
          <w:p w14:paraId="15951466">
            <w:pPr>
              <w:spacing w:line="360" w:lineRule="auto"/>
              <w:jc w:val="center"/>
              <w:rPr>
                <w:rFonts w:hint="eastAsia" w:ascii="宋体" w:hAnsi="宋体"/>
              </w:rPr>
            </w:pPr>
            <w:r>
              <w:rPr>
                <w:rFonts w:hint="eastAsia" w:ascii="宋体" w:hAnsi="宋体"/>
              </w:rPr>
              <w:t>项</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目</w:t>
            </w:r>
          </w:p>
        </w:tc>
        <w:tc>
          <w:tcPr>
            <w:tcW w:w="2621" w:type="dxa"/>
            <w:vAlign w:val="center"/>
          </w:tcPr>
          <w:p w14:paraId="133C5AE9">
            <w:pPr>
              <w:spacing w:line="360" w:lineRule="auto"/>
              <w:jc w:val="center"/>
              <w:rPr>
                <w:rFonts w:hint="eastAsia" w:ascii="宋体" w:hAnsi="宋体"/>
              </w:rPr>
            </w:pPr>
            <w:r>
              <w:rPr>
                <w:rFonts w:hint="eastAsia" w:ascii="宋体" w:hAnsi="宋体"/>
              </w:rPr>
              <w:t>参数值</w:t>
            </w:r>
          </w:p>
        </w:tc>
      </w:tr>
      <w:tr w14:paraId="44A3D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4" w:type="dxa"/>
            <w:vAlign w:val="center"/>
          </w:tcPr>
          <w:p w14:paraId="5A11392B">
            <w:pPr>
              <w:spacing w:line="360" w:lineRule="auto"/>
              <w:jc w:val="center"/>
              <w:rPr>
                <w:rFonts w:hint="eastAsia" w:ascii="宋体" w:hAnsi="宋体"/>
              </w:rPr>
            </w:pPr>
            <w:r>
              <w:rPr>
                <w:rFonts w:hint="eastAsia" w:ascii="宋体" w:hAnsi="宋体"/>
              </w:rPr>
              <w:t>历年极端最高气温（℃）</w:t>
            </w:r>
          </w:p>
        </w:tc>
        <w:tc>
          <w:tcPr>
            <w:tcW w:w="2621" w:type="dxa"/>
            <w:vAlign w:val="center"/>
          </w:tcPr>
          <w:p w14:paraId="61CB05A1">
            <w:pPr>
              <w:spacing w:line="360" w:lineRule="auto"/>
              <w:jc w:val="center"/>
              <w:rPr>
                <w:rFonts w:hint="eastAsia" w:ascii="宋体" w:hAnsi="宋体"/>
              </w:rPr>
            </w:pPr>
            <w:r>
              <w:rPr>
                <w:rFonts w:hint="eastAsia" w:ascii="宋体" w:hAnsi="宋体"/>
              </w:rPr>
              <w:t>36.4</w:t>
            </w:r>
          </w:p>
        </w:tc>
      </w:tr>
      <w:tr w14:paraId="47593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4" w:type="dxa"/>
            <w:vAlign w:val="center"/>
          </w:tcPr>
          <w:p w14:paraId="5C9391FA">
            <w:pPr>
              <w:spacing w:line="360" w:lineRule="auto"/>
              <w:jc w:val="center"/>
              <w:rPr>
                <w:rFonts w:hint="eastAsia" w:ascii="宋体" w:hAnsi="宋体"/>
              </w:rPr>
            </w:pPr>
            <w:r>
              <w:rPr>
                <w:rFonts w:hint="eastAsia" w:ascii="宋体" w:hAnsi="宋体"/>
              </w:rPr>
              <w:t>历年极端最低气温（℃）</w:t>
            </w:r>
          </w:p>
        </w:tc>
        <w:tc>
          <w:tcPr>
            <w:tcW w:w="2621" w:type="dxa"/>
            <w:vAlign w:val="center"/>
          </w:tcPr>
          <w:p w14:paraId="24540BE6">
            <w:pPr>
              <w:spacing w:line="360" w:lineRule="auto"/>
              <w:jc w:val="center"/>
              <w:rPr>
                <w:rFonts w:hint="eastAsia" w:ascii="宋体" w:hAnsi="宋体"/>
              </w:rPr>
            </w:pPr>
            <w:r>
              <w:rPr>
                <w:rFonts w:hint="eastAsia" w:ascii="宋体" w:hAnsi="宋体"/>
              </w:rPr>
              <w:t>-38.1</w:t>
            </w:r>
          </w:p>
        </w:tc>
      </w:tr>
      <w:tr w14:paraId="60F53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4" w:type="dxa"/>
            <w:vAlign w:val="center"/>
          </w:tcPr>
          <w:p w14:paraId="446612CB">
            <w:pPr>
              <w:spacing w:line="360" w:lineRule="auto"/>
              <w:jc w:val="center"/>
              <w:rPr>
                <w:rFonts w:hint="eastAsia" w:ascii="宋体" w:hAnsi="宋体"/>
              </w:rPr>
            </w:pPr>
            <w:r>
              <w:rPr>
                <w:rFonts w:hint="eastAsia" w:ascii="宋体" w:hAnsi="宋体"/>
              </w:rPr>
              <w:t>累年平均相对湿度（％）</w:t>
            </w:r>
          </w:p>
        </w:tc>
        <w:tc>
          <w:tcPr>
            <w:tcW w:w="2621" w:type="dxa"/>
            <w:vAlign w:val="center"/>
          </w:tcPr>
          <w:p w14:paraId="1AEBBE6E">
            <w:pPr>
              <w:spacing w:line="360" w:lineRule="auto"/>
              <w:jc w:val="center"/>
              <w:rPr>
                <w:rFonts w:hint="eastAsia" w:ascii="宋体" w:hAnsi="宋体"/>
              </w:rPr>
            </w:pPr>
            <w:r>
              <w:rPr>
                <w:rFonts w:ascii="宋体" w:hAnsi="宋体"/>
              </w:rPr>
              <w:t>6</w:t>
            </w:r>
            <w:r>
              <w:rPr>
                <w:rFonts w:hint="eastAsia" w:ascii="宋体" w:hAnsi="宋体"/>
              </w:rPr>
              <w:t>5</w:t>
            </w:r>
          </w:p>
        </w:tc>
      </w:tr>
      <w:tr w14:paraId="5B3D7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4" w:type="dxa"/>
            <w:vAlign w:val="center"/>
          </w:tcPr>
          <w:p w14:paraId="3B298EB0">
            <w:pPr>
              <w:spacing w:line="360" w:lineRule="auto"/>
              <w:jc w:val="center"/>
              <w:rPr>
                <w:rFonts w:hint="eastAsia" w:ascii="宋体" w:hAnsi="宋体"/>
              </w:rPr>
            </w:pPr>
            <w:r>
              <w:rPr>
                <w:rFonts w:hint="eastAsia" w:ascii="宋体" w:hAnsi="宋体"/>
              </w:rPr>
              <w:t>累年平均降水量（</w:t>
            </w:r>
            <w:r>
              <w:rPr>
                <w:rFonts w:ascii="宋体" w:hAnsi="宋体"/>
              </w:rPr>
              <w:t>mm</w:t>
            </w:r>
            <w:r>
              <w:rPr>
                <w:rFonts w:hint="eastAsia" w:ascii="宋体" w:hAnsi="宋体"/>
              </w:rPr>
              <w:t>）</w:t>
            </w:r>
          </w:p>
        </w:tc>
        <w:tc>
          <w:tcPr>
            <w:tcW w:w="2621" w:type="dxa"/>
            <w:vAlign w:val="center"/>
          </w:tcPr>
          <w:p w14:paraId="4453BB19">
            <w:pPr>
              <w:spacing w:line="360" w:lineRule="auto"/>
              <w:jc w:val="center"/>
              <w:rPr>
                <w:rFonts w:hint="eastAsia" w:ascii="宋体" w:hAnsi="宋体"/>
              </w:rPr>
            </w:pPr>
            <w:r>
              <w:rPr>
                <w:rFonts w:hint="eastAsia" w:ascii="宋体" w:hAnsi="宋体"/>
              </w:rPr>
              <w:t>569.93</w:t>
            </w:r>
          </w:p>
        </w:tc>
      </w:tr>
      <w:tr w14:paraId="0051C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4" w:type="dxa"/>
            <w:vAlign w:val="center"/>
          </w:tcPr>
          <w:p w14:paraId="6097714C">
            <w:pPr>
              <w:spacing w:line="360" w:lineRule="auto"/>
              <w:jc w:val="center"/>
              <w:rPr>
                <w:rFonts w:hint="eastAsia" w:ascii="宋体" w:hAnsi="宋体"/>
              </w:rPr>
            </w:pPr>
            <w:r>
              <w:rPr>
                <w:rFonts w:hint="eastAsia" w:ascii="宋体" w:hAnsi="宋体"/>
              </w:rPr>
              <w:t>累年平均蒸发量（</w:t>
            </w:r>
            <w:r>
              <w:rPr>
                <w:rFonts w:ascii="宋体" w:hAnsi="宋体"/>
              </w:rPr>
              <w:t>mm</w:t>
            </w:r>
            <w:r>
              <w:rPr>
                <w:rFonts w:hint="eastAsia" w:ascii="宋体" w:hAnsi="宋体"/>
              </w:rPr>
              <w:t>）</w:t>
            </w:r>
          </w:p>
        </w:tc>
        <w:tc>
          <w:tcPr>
            <w:tcW w:w="2621" w:type="dxa"/>
            <w:vAlign w:val="center"/>
          </w:tcPr>
          <w:p w14:paraId="2CE24A86">
            <w:pPr>
              <w:spacing w:line="360" w:lineRule="auto"/>
              <w:jc w:val="center"/>
              <w:rPr>
                <w:rFonts w:hint="eastAsia" w:ascii="宋体" w:hAnsi="宋体"/>
              </w:rPr>
            </w:pPr>
            <w:r>
              <w:rPr>
                <w:rFonts w:hint="eastAsia" w:ascii="宋体" w:hAnsi="宋体"/>
              </w:rPr>
              <w:t>1501.4</w:t>
            </w:r>
          </w:p>
        </w:tc>
      </w:tr>
      <w:tr w14:paraId="27884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4" w:type="dxa"/>
            <w:vAlign w:val="center"/>
          </w:tcPr>
          <w:p w14:paraId="5D8B520E">
            <w:pPr>
              <w:spacing w:line="360" w:lineRule="auto"/>
              <w:jc w:val="center"/>
              <w:rPr>
                <w:rFonts w:hint="eastAsia" w:ascii="宋体" w:hAnsi="宋体"/>
              </w:rPr>
            </w:pPr>
            <w:r>
              <w:rPr>
                <w:rFonts w:hint="eastAsia" w:ascii="宋体" w:hAnsi="宋体"/>
              </w:rPr>
              <w:t>累年最大积雪深度（</w:t>
            </w:r>
            <w:r>
              <w:rPr>
                <w:rFonts w:ascii="宋体" w:hAnsi="宋体"/>
              </w:rPr>
              <w:t>cm</w:t>
            </w:r>
            <w:r>
              <w:rPr>
                <w:rFonts w:hint="eastAsia" w:ascii="宋体" w:hAnsi="宋体"/>
              </w:rPr>
              <w:t>）</w:t>
            </w:r>
          </w:p>
        </w:tc>
        <w:tc>
          <w:tcPr>
            <w:tcW w:w="2621" w:type="dxa"/>
            <w:vAlign w:val="center"/>
          </w:tcPr>
          <w:p w14:paraId="44D7D80D">
            <w:pPr>
              <w:spacing w:line="360" w:lineRule="auto"/>
              <w:jc w:val="center"/>
              <w:rPr>
                <w:rFonts w:hint="eastAsia" w:ascii="宋体" w:hAnsi="宋体"/>
              </w:rPr>
            </w:pPr>
            <w:r>
              <w:rPr>
                <w:rFonts w:hint="eastAsia" w:ascii="宋体" w:hAnsi="宋体"/>
              </w:rPr>
              <w:t>41</w:t>
            </w:r>
          </w:p>
        </w:tc>
      </w:tr>
      <w:tr w14:paraId="46459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4" w:type="dxa"/>
            <w:vAlign w:val="center"/>
          </w:tcPr>
          <w:p w14:paraId="313F7F8C">
            <w:pPr>
              <w:spacing w:line="360" w:lineRule="auto"/>
              <w:jc w:val="center"/>
              <w:rPr>
                <w:rFonts w:hint="eastAsia" w:ascii="宋体" w:hAnsi="宋体"/>
              </w:rPr>
            </w:pPr>
            <w:r>
              <w:rPr>
                <w:rFonts w:hint="eastAsia" w:ascii="宋体" w:hAnsi="宋体"/>
              </w:rPr>
              <w:t>累年最大风速</w:t>
            </w:r>
            <w:r>
              <w:rPr>
                <w:rFonts w:ascii="宋体" w:hAnsi="宋体"/>
              </w:rPr>
              <w:t>(m/s)</w:t>
            </w:r>
            <w:r>
              <w:rPr>
                <w:rFonts w:hint="eastAsia" w:ascii="宋体" w:hAnsi="宋体"/>
              </w:rPr>
              <w:t>/风向</w:t>
            </w:r>
          </w:p>
        </w:tc>
        <w:tc>
          <w:tcPr>
            <w:tcW w:w="2621" w:type="dxa"/>
            <w:vAlign w:val="center"/>
          </w:tcPr>
          <w:p w14:paraId="6C0CE8A3">
            <w:pPr>
              <w:spacing w:line="360" w:lineRule="auto"/>
              <w:jc w:val="center"/>
              <w:rPr>
                <w:rFonts w:hint="eastAsia" w:ascii="宋体" w:hAnsi="宋体"/>
              </w:rPr>
            </w:pPr>
            <w:r>
              <w:rPr>
                <w:rFonts w:hint="eastAsia" w:ascii="宋体" w:hAnsi="宋体"/>
              </w:rPr>
              <w:t>14.4/sw</w:t>
            </w:r>
          </w:p>
        </w:tc>
      </w:tr>
      <w:tr w14:paraId="6070D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4" w:type="dxa"/>
            <w:vAlign w:val="center"/>
          </w:tcPr>
          <w:p w14:paraId="77260B77">
            <w:pPr>
              <w:spacing w:line="360" w:lineRule="auto"/>
              <w:jc w:val="center"/>
              <w:rPr>
                <w:rFonts w:hint="eastAsia" w:ascii="宋体" w:hAnsi="宋体"/>
              </w:rPr>
            </w:pPr>
            <w:r>
              <w:rPr>
                <w:rFonts w:hint="eastAsia" w:ascii="宋体" w:hAnsi="宋体"/>
              </w:rPr>
              <w:t>累年平均风速</w:t>
            </w:r>
            <w:r>
              <w:rPr>
                <w:rFonts w:ascii="宋体" w:hAnsi="宋体"/>
              </w:rPr>
              <w:t>(</w:t>
            </w:r>
            <w:r>
              <w:rPr>
                <w:rFonts w:hint="eastAsia" w:ascii="宋体" w:hAnsi="宋体"/>
              </w:rPr>
              <w:t>m</w:t>
            </w:r>
            <w:r>
              <w:rPr>
                <w:rFonts w:ascii="宋体" w:hAnsi="宋体"/>
              </w:rPr>
              <w:t>/s)</w:t>
            </w:r>
          </w:p>
        </w:tc>
        <w:tc>
          <w:tcPr>
            <w:tcW w:w="2621" w:type="dxa"/>
            <w:vAlign w:val="center"/>
          </w:tcPr>
          <w:p w14:paraId="0992D137">
            <w:pPr>
              <w:spacing w:line="360" w:lineRule="auto"/>
              <w:jc w:val="center"/>
              <w:rPr>
                <w:rFonts w:hint="eastAsia" w:ascii="宋体" w:hAnsi="宋体"/>
              </w:rPr>
            </w:pPr>
            <w:r>
              <w:rPr>
                <w:rFonts w:ascii="宋体" w:hAnsi="宋体"/>
              </w:rPr>
              <w:t>4.1m/s</w:t>
            </w:r>
          </w:p>
        </w:tc>
      </w:tr>
      <w:tr w14:paraId="15083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4" w:type="dxa"/>
            <w:vAlign w:val="center"/>
          </w:tcPr>
          <w:p w14:paraId="64F081BA">
            <w:pPr>
              <w:spacing w:line="360" w:lineRule="auto"/>
              <w:jc w:val="center"/>
              <w:rPr>
                <w:rFonts w:hint="eastAsia" w:ascii="宋体" w:hAnsi="宋体"/>
              </w:rPr>
            </w:pPr>
            <w:r>
              <w:rPr>
                <w:rFonts w:hint="eastAsia" w:ascii="宋体" w:hAnsi="宋体"/>
              </w:rPr>
              <w:t>累年平均雷暴日数</w:t>
            </w:r>
          </w:p>
        </w:tc>
        <w:tc>
          <w:tcPr>
            <w:tcW w:w="2621" w:type="dxa"/>
            <w:vAlign w:val="center"/>
          </w:tcPr>
          <w:p w14:paraId="79ADA10C">
            <w:pPr>
              <w:spacing w:line="360" w:lineRule="auto"/>
              <w:jc w:val="center"/>
              <w:rPr>
                <w:rFonts w:hint="eastAsia" w:ascii="宋体" w:hAnsi="宋体"/>
              </w:rPr>
            </w:pPr>
            <w:r>
              <w:rPr>
                <w:rFonts w:hint="eastAsia" w:ascii="宋体" w:hAnsi="宋体"/>
              </w:rPr>
              <w:t>35.0日</w:t>
            </w:r>
          </w:p>
        </w:tc>
      </w:tr>
      <w:tr w14:paraId="5567C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4" w:type="dxa"/>
            <w:vAlign w:val="center"/>
          </w:tcPr>
          <w:p w14:paraId="7790E6C9">
            <w:pPr>
              <w:spacing w:line="360" w:lineRule="auto"/>
              <w:jc w:val="center"/>
              <w:rPr>
                <w:rFonts w:hint="eastAsia" w:ascii="宋体" w:hAnsi="宋体"/>
              </w:rPr>
            </w:pPr>
            <w:r>
              <w:rPr>
                <w:rFonts w:hint="eastAsia" w:ascii="宋体" w:hAnsi="宋体"/>
              </w:rPr>
              <w:t>年平均降雪量（mm）</w:t>
            </w:r>
          </w:p>
        </w:tc>
        <w:tc>
          <w:tcPr>
            <w:tcW w:w="2621" w:type="dxa"/>
            <w:vAlign w:val="center"/>
          </w:tcPr>
          <w:p w14:paraId="0CF2B072">
            <w:pPr>
              <w:spacing w:line="360" w:lineRule="auto"/>
              <w:jc w:val="center"/>
              <w:rPr>
                <w:rFonts w:hint="eastAsia" w:ascii="宋体" w:hAnsi="宋体"/>
              </w:rPr>
            </w:pPr>
            <w:r>
              <w:rPr>
                <w:rFonts w:ascii="宋体" w:hAnsi="宋体"/>
              </w:rPr>
              <w:t>63.1</w:t>
            </w:r>
          </w:p>
        </w:tc>
      </w:tr>
      <w:tr w14:paraId="15627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4" w:type="dxa"/>
            <w:vAlign w:val="center"/>
          </w:tcPr>
          <w:p w14:paraId="0AA22CAC">
            <w:pPr>
              <w:spacing w:line="360" w:lineRule="auto"/>
              <w:jc w:val="center"/>
              <w:rPr>
                <w:rFonts w:hint="eastAsia" w:ascii="宋体" w:hAnsi="宋体"/>
              </w:rPr>
            </w:pPr>
            <w:r>
              <w:rPr>
                <w:rFonts w:hint="eastAsia" w:ascii="宋体" w:hAnsi="宋体"/>
              </w:rPr>
              <w:t>降雪期日数（日）</w:t>
            </w:r>
          </w:p>
        </w:tc>
        <w:tc>
          <w:tcPr>
            <w:tcW w:w="2621" w:type="dxa"/>
            <w:vAlign w:val="center"/>
          </w:tcPr>
          <w:p w14:paraId="0A987238">
            <w:pPr>
              <w:spacing w:line="360" w:lineRule="auto"/>
              <w:jc w:val="center"/>
              <w:rPr>
                <w:rFonts w:hint="eastAsia" w:ascii="宋体" w:hAnsi="宋体"/>
              </w:rPr>
            </w:pPr>
            <w:r>
              <w:rPr>
                <w:rFonts w:hint="eastAsia" w:ascii="宋体" w:hAnsi="宋体"/>
              </w:rPr>
              <w:t>~180</w:t>
            </w:r>
          </w:p>
        </w:tc>
      </w:tr>
      <w:tr w14:paraId="1C988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4" w:type="dxa"/>
            <w:vAlign w:val="center"/>
          </w:tcPr>
          <w:p w14:paraId="7D691A7C">
            <w:pPr>
              <w:spacing w:line="360" w:lineRule="auto"/>
              <w:jc w:val="center"/>
              <w:rPr>
                <w:rFonts w:hint="eastAsia" w:ascii="宋体" w:hAnsi="宋体"/>
              </w:rPr>
            </w:pPr>
            <w:r>
              <w:rPr>
                <w:rFonts w:hint="eastAsia" w:ascii="宋体" w:hAnsi="宋体"/>
              </w:rPr>
              <w:t>土壤最大冻结深度（</w:t>
            </w:r>
            <w:r>
              <w:rPr>
                <w:rFonts w:ascii="宋体" w:hAnsi="宋体"/>
              </w:rPr>
              <w:t>m</w:t>
            </w:r>
            <w:r>
              <w:rPr>
                <w:rFonts w:hint="eastAsia" w:ascii="宋体" w:hAnsi="宋体"/>
              </w:rPr>
              <w:t>）</w:t>
            </w:r>
          </w:p>
        </w:tc>
        <w:tc>
          <w:tcPr>
            <w:tcW w:w="2621" w:type="dxa"/>
            <w:vAlign w:val="center"/>
          </w:tcPr>
          <w:p w14:paraId="442A0F44">
            <w:pPr>
              <w:spacing w:line="360" w:lineRule="auto"/>
              <w:jc w:val="center"/>
              <w:rPr>
                <w:rFonts w:hint="eastAsia" w:ascii="宋体" w:hAnsi="宋体"/>
              </w:rPr>
            </w:pPr>
            <w:r>
              <w:rPr>
                <w:rFonts w:hint="eastAsia" w:ascii="宋体" w:hAnsi="宋体"/>
              </w:rPr>
              <w:t>2.05</w:t>
            </w:r>
          </w:p>
        </w:tc>
      </w:tr>
    </w:tbl>
    <w:p w14:paraId="2262802B">
      <w:pPr>
        <w:spacing w:line="360" w:lineRule="auto"/>
        <w:rPr>
          <w:rFonts w:hint="eastAsia" w:ascii="宋体" w:hAnsi="宋体"/>
        </w:rPr>
      </w:pPr>
      <w:bookmarkStart w:id="23" w:name="_Toc15689"/>
      <w:r>
        <w:rPr>
          <w:rFonts w:hint="eastAsia" w:ascii="宋体" w:hAnsi="宋体"/>
          <w:b/>
        </w:rPr>
        <w:t>4</w:t>
      </w:r>
      <w:r>
        <w:rPr>
          <w:rFonts w:ascii="宋体" w:hAnsi="宋体"/>
          <w:b/>
        </w:rPr>
        <w:t>.</w:t>
      </w:r>
      <w:r>
        <w:rPr>
          <w:rFonts w:hint="eastAsia" w:ascii="宋体" w:hAnsi="宋体"/>
          <w:b/>
        </w:rPr>
        <w:t>3车辆条件</w:t>
      </w:r>
      <w:bookmarkEnd w:id="23"/>
    </w:p>
    <w:p w14:paraId="37DBB954">
      <w:pPr>
        <w:spacing w:line="360" w:lineRule="auto"/>
        <w:rPr>
          <w:rFonts w:hint="eastAsia" w:ascii="宋体" w:hAnsi="宋体"/>
          <w:b/>
        </w:rPr>
      </w:pPr>
      <w:r>
        <w:rPr>
          <w:rFonts w:hint="eastAsia" w:ascii="宋体" w:hAnsi="宋体"/>
          <w:b/>
        </w:rPr>
        <w:t>4.3</w:t>
      </w:r>
      <w:r>
        <w:rPr>
          <w:rFonts w:ascii="宋体" w:hAnsi="宋体"/>
          <w:b/>
        </w:rPr>
        <w:t>.1</w:t>
      </w:r>
      <w:r>
        <w:rPr>
          <w:rFonts w:hint="eastAsia" w:ascii="宋体" w:hAnsi="宋体"/>
          <w:b/>
        </w:rPr>
        <w:t>地铁列车</w:t>
      </w:r>
    </w:p>
    <w:p w14:paraId="03619ED7">
      <w:pPr>
        <w:spacing w:line="360" w:lineRule="auto"/>
        <w:rPr>
          <w:rFonts w:hint="eastAsia" w:ascii="宋体" w:hAnsi="宋体"/>
        </w:rPr>
      </w:pPr>
      <w:r>
        <w:rPr>
          <w:rFonts w:hint="eastAsia" w:ascii="宋体" w:hAnsi="宋体"/>
        </w:rPr>
        <w:t>4.3.1.1列车编组</w:t>
      </w:r>
    </w:p>
    <w:p w14:paraId="531750FB">
      <w:pPr>
        <w:spacing w:line="360" w:lineRule="auto"/>
        <w:ind w:firstLine="560"/>
        <w:rPr>
          <w:rFonts w:hint="eastAsia" w:ascii="宋体" w:hAnsi="宋体"/>
        </w:rPr>
      </w:pPr>
      <w:r>
        <w:rPr>
          <w:rFonts w:hint="eastAsia" w:ascii="宋体" w:hAnsi="宋体"/>
        </w:rPr>
        <w:t>采用6辆编组，4动2拖，列车编组方式如下：</w:t>
      </w:r>
    </w:p>
    <w:p w14:paraId="408A93D6">
      <w:pPr>
        <w:spacing w:line="360" w:lineRule="auto"/>
        <w:ind w:firstLine="560"/>
        <w:rPr>
          <w:rFonts w:hint="eastAsia" w:ascii="宋体" w:hAnsi="宋体"/>
        </w:rPr>
      </w:pPr>
      <w:r>
        <w:rPr>
          <w:rFonts w:hint="eastAsia" w:ascii="宋体" w:hAnsi="宋体"/>
        </w:rPr>
        <w:t>—Tc*Mp*M*M*Mp*Tc—</w:t>
      </w:r>
    </w:p>
    <w:p w14:paraId="1F564CBD">
      <w:pPr>
        <w:spacing w:line="360" w:lineRule="auto"/>
        <w:ind w:left="561" w:leftChars="267"/>
        <w:rPr>
          <w:rFonts w:hint="eastAsia" w:ascii="宋体" w:hAnsi="宋体"/>
        </w:rPr>
      </w:pPr>
      <w:r>
        <w:rPr>
          <w:rFonts w:hint="eastAsia" w:ascii="宋体" w:hAnsi="宋体"/>
        </w:rPr>
        <w:t>其中：Tc为带司机室的拖车，Mp为带受电弓的动车，M为不带受电弓的动车；—为半自动车钩，*为半永久车钩；</w:t>
      </w:r>
    </w:p>
    <w:p w14:paraId="4CCAB9E3">
      <w:pPr>
        <w:spacing w:line="360" w:lineRule="auto"/>
        <w:rPr>
          <w:rFonts w:hint="eastAsia" w:ascii="宋体" w:hAnsi="宋体"/>
        </w:rPr>
      </w:pPr>
      <w:r>
        <w:rPr>
          <w:rFonts w:hint="eastAsia" w:ascii="宋体" w:hAnsi="宋体"/>
        </w:rPr>
        <w:t>4.3.1.2列车技术参数</w:t>
      </w:r>
    </w:p>
    <w:p w14:paraId="184A2165">
      <w:pPr>
        <w:spacing w:line="360" w:lineRule="auto"/>
        <w:ind w:firstLine="630" w:firstLineChars="300"/>
        <w:rPr>
          <w:rFonts w:hint="eastAsia" w:ascii="宋体" w:hAnsi="宋体"/>
        </w:rPr>
      </w:pPr>
      <w:r>
        <w:rPr>
          <w:rFonts w:hint="eastAsia" w:ascii="宋体" w:hAnsi="宋体"/>
        </w:rPr>
        <w:t>轨距：</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1435mm</w:t>
      </w:r>
    </w:p>
    <w:p w14:paraId="6EEFD0B1">
      <w:pPr>
        <w:spacing w:line="360" w:lineRule="auto"/>
        <w:ind w:firstLine="630" w:firstLineChars="300"/>
        <w:rPr>
          <w:rFonts w:hint="eastAsia" w:ascii="宋体" w:hAnsi="宋体"/>
        </w:rPr>
      </w:pPr>
      <w:r>
        <w:rPr>
          <w:rFonts w:hint="eastAsia" w:ascii="宋体" w:hAnsi="宋体"/>
        </w:rPr>
        <w:t>车辆长度（车钩中心距）：</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T</w:t>
      </w:r>
      <w:r>
        <w:rPr>
          <w:rFonts w:hint="eastAsia" w:ascii="宋体" w:hAnsi="宋体"/>
          <w:vertAlign w:val="subscript"/>
        </w:rPr>
        <w:t>C</w:t>
      </w:r>
      <w:r>
        <w:rPr>
          <w:rFonts w:hint="eastAsia" w:ascii="宋体" w:hAnsi="宋体"/>
        </w:rPr>
        <w:t>20500mm，其余19520mm</w:t>
      </w:r>
    </w:p>
    <w:p w14:paraId="01260E91">
      <w:pPr>
        <w:spacing w:line="360" w:lineRule="auto"/>
        <w:ind w:firstLine="630" w:firstLineChars="300"/>
        <w:rPr>
          <w:rFonts w:hint="eastAsia" w:ascii="宋体" w:hAnsi="宋体"/>
        </w:rPr>
      </w:pPr>
      <w:r>
        <w:rPr>
          <w:rFonts w:hint="eastAsia" w:ascii="宋体" w:hAnsi="宋体"/>
        </w:rPr>
        <w:t>车辆最大宽度：</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2800mm</w:t>
      </w:r>
    </w:p>
    <w:p w14:paraId="2C097252">
      <w:pPr>
        <w:spacing w:line="360" w:lineRule="auto"/>
        <w:ind w:firstLine="630" w:firstLineChars="300"/>
        <w:rPr>
          <w:rFonts w:hint="eastAsia" w:ascii="宋体" w:hAnsi="宋体"/>
        </w:rPr>
      </w:pPr>
      <w:r>
        <w:rPr>
          <w:rFonts w:hint="eastAsia" w:ascii="宋体" w:hAnsi="宋体"/>
        </w:rPr>
        <w:t>车轮直径：</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新轮840mm，半磨耗轮805mm，磨耗轮770mm</w:t>
      </w:r>
    </w:p>
    <w:p w14:paraId="01737CA0">
      <w:pPr>
        <w:spacing w:line="360" w:lineRule="auto"/>
        <w:ind w:firstLine="630" w:firstLineChars="300"/>
        <w:rPr>
          <w:rFonts w:hint="eastAsia" w:ascii="宋体" w:hAnsi="宋体"/>
        </w:rPr>
      </w:pPr>
      <w:r>
        <w:rPr>
          <w:rFonts w:hint="eastAsia" w:ascii="宋体" w:hAnsi="宋体"/>
        </w:rPr>
        <w:t>定距：</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12600mm</w:t>
      </w:r>
    </w:p>
    <w:p w14:paraId="4680B405">
      <w:pPr>
        <w:spacing w:line="360" w:lineRule="auto"/>
        <w:ind w:firstLine="630" w:firstLineChars="300"/>
        <w:rPr>
          <w:rFonts w:hint="eastAsia" w:ascii="宋体" w:hAnsi="宋体"/>
        </w:rPr>
      </w:pPr>
      <w:r>
        <w:rPr>
          <w:rFonts w:hint="eastAsia" w:ascii="宋体" w:hAnsi="宋体"/>
        </w:rPr>
        <w:t>轴距：</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2200/2300mm</w:t>
      </w:r>
    </w:p>
    <w:p w14:paraId="5286F441">
      <w:pPr>
        <w:spacing w:line="360" w:lineRule="auto"/>
        <w:ind w:firstLine="630" w:firstLineChars="300"/>
        <w:rPr>
          <w:rFonts w:hint="eastAsia" w:ascii="宋体" w:hAnsi="宋体"/>
        </w:rPr>
      </w:pPr>
      <w:r>
        <w:rPr>
          <w:rFonts w:hint="eastAsia" w:ascii="宋体" w:hAnsi="宋体"/>
        </w:rPr>
        <w:t>车辆轴重：</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≤14t</w:t>
      </w:r>
    </w:p>
    <w:p w14:paraId="1E553370">
      <w:pPr>
        <w:spacing w:line="360" w:lineRule="auto"/>
        <w:ind w:firstLine="630" w:firstLineChars="300"/>
        <w:rPr>
          <w:rFonts w:hint="eastAsia" w:ascii="宋体" w:hAnsi="宋体"/>
        </w:rPr>
      </w:pPr>
      <w:r>
        <w:rPr>
          <w:rFonts w:hint="eastAsia" w:ascii="宋体" w:hAnsi="宋体"/>
        </w:rPr>
        <w:t>Tc车：</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约32t</w:t>
      </w:r>
    </w:p>
    <w:p w14:paraId="45A310A6">
      <w:pPr>
        <w:spacing w:line="360" w:lineRule="auto"/>
        <w:ind w:firstLine="630" w:firstLineChars="300"/>
        <w:rPr>
          <w:rFonts w:hint="eastAsia" w:ascii="宋体" w:hAnsi="宋体"/>
        </w:rPr>
      </w:pPr>
      <w:r>
        <w:rPr>
          <w:rFonts w:hint="eastAsia" w:ascii="宋体" w:hAnsi="宋体"/>
        </w:rPr>
        <w:t>M、Mp车：</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约35t</w:t>
      </w:r>
    </w:p>
    <w:p w14:paraId="1BC29CA7">
      <w:pPr>
        <w:spacing w:line="360" w:lineRule="auto"/>
        <w:ind w:firstLine="630" w:firstLineChars="300"/>
        <w:rPr>
          <w:rFonts w:hint="eastAsia" w:ascii="宋体" w:hAnsi="宋体"/>
        </w:rPr>
      </w:pPr>
      <w:r>
        <w:rPr>
          <w:rFonts w:hint="eastAsia" w:ascii="宋体" w:hAnsi="宋体"/>
        </w:rPr>
        <w:t>地铁车辆车钩中心线高度（距轨面）：</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720</w:t>
      </w:r>
      <w:r>
        <w:rPr>
          <w:rFonts w:hint="eastAsia" w:ascii="宋体" w:hAnsi="宋体"/>
          <w:vertAlign w:val="superscript"/>
        </w:rPr>
        <w:t>+10</w:t>
      </w:r>
      <w:r>
        <w:rPr>
          <w:rFonts w:hint="eastAsia" w:ascii="宋体" w:hAnsi="宋体"/>
        </w:rPr>
        <w:t>mm</w:t>
      </w:r>
    </w:p>
    <w:p w14:paraId="14007F2C">
      <w:pPr>
        <w:spacing w:line="360" w:lineRule="auto"/>
        <w:ind w:firstLine="630" w:firstLineChars="300"/>
        <w:rPr>
          <w:rFonts w:hint="eastAsia" w:ascii="宋体" w:hAnsi="宋体"/>
        </w:rPr>
      </w:pPr>
      <w:r>
        <w:rPr>
          <w:rFonts w:hint="eastAsia" w:ascii="宋体" w:hAnsi="宋体"/>
        </w:rPr>
        <w:t>列车重量：</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约210t</w:t>
      </w:r>
    </w:p>
    <w:p w14:paraId="721B7FEA">
      <w:pPr>
        <w:spacing w:line="360" w:lineRule="auto"/>
        <w:ind w:firstLine="630" w:firstLineChars="300"/>
        <w:rPr>
          <w:rFonts w:hint="eastAsia" w:ascii="宋体" w:hAnsi="宋体"/>
        </w:rPr>
      </w:pPr>
      <w:r>
        <w:rPr>
          <w:rFonts w:hint="eastAsia" w:ascii="宋体" w:hAnsi="宋体"/>
        </w:rPr>
        <w:t>供电电压：</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DC1500V</w:t>
      </w:r>
    </w:p>
    <w:p w14:paraId="24073868">
      <w:pPr>
        <w:spacing w:line="360" w:lineRule="auto"/>
        <w:ind w:firstLine="630" w:firstLineChars="300"/>
        <w:rPr>
          <w:rFonts w:hint="eastAsia" w:ascii="宋体" w:hAnsi="宋体"/>
        </w:rPr>
      </w:pPr>
      <w:r>
        <w:rPr>
          <w:rFonts w:hint="eastAsia" w:ascii="宋体" w:hAnsi="宋体"/>
        </w:rPr>
        <w:t>受电方式：</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接触网</w:t>
      </w:r>
    </w:p>
    <w:p w14:paraId="440BC61F">
      <w:pPr>
        <w:spacing w:line="360" w:lineRule="auto"/>
        <w:ind w:firstLine="630" w:firstLineChars="300"/>
        <w:rPr>
          <w:rFonts w:hint="eastAsia" w:ascii="宋体" w:hAnsi="宋体"/>
        </w:rPr>
      </w:pPr>
      <w:r>
        <w:rPr>
          <w:rFonts w:hint="eastAsia" w:ascii="宋体" w:hAnsi="宋体"/>
        </w:rPr>
        <w:t>单元制动形式：</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踏面制动</w:t>
      </w:r>
    </w:p>
    <w:p w14:paraId="12BC7306">
      <w:pPr>
        <w:spacing w:line="360" w:lineRule="auto"/>
        <w:ind w:firstLine="630" w:firstLineChars="300"/>
        <w:rPr>
          <w:rFonts w:hint="eastAsia" w:ascii="宋体" w:hAnsi="宋体"/>
        </w:rPr>
      </w:pPr>
      <w:r>
        <w:rPr>
          <w:rFonts w:hint="eastAsia" w:ascii="宋体" w:hAnsi="宋体"/>
        </w:rPr>
        <w:t>设备的限界以《地铁设计规范》GB50157-2013附录C中B2型车限界图为准。</w:t>
      </w:r>
    </w:p>
    <w:p w14:paraId="629565E6">
      <w:pPr>
        <w:adjustRightInd w:val="0"/>
        <w:snapToGrid w:val="0"/>
        <w:spacing w:line="360" w:lineRule="auto"/>
        <w:ind w:left="163" w:leftChars="7" w:hanging="148" w:hangingChars="70"/>
        <w:rPr>
          <w:rFonts w:hint="eastAsia" w:ascii="宋体" w:hAnsi="宋体" w:cs="Arial"/>
          <w:b/>
        </w:rPr>
      </w:pPr>
      <w:r>
        <w:rPr>
          <w:rFonts w:hint="eastAsia" w:ascii="宋体" w:hAnsi="宋体" w:cs="Arial"/>
          <w:b/>
        </w:rPr>
        <w:t>4.3.2</w:t>
      </w:r>
      <w:r>
        <w:rPr>
          <w:rFonts w:ascii="宋体" w:hAnsi="宋体"/>
          <w:b/>
        </w:rPr>
        <w:t>工程车</w:t>
      </w:r>
      <w:r>
        <w:rPr>
          <w:rFonts w:hint="eastAsia" w:ascii="宋体" w:hAnsi="宋体"/>
          <w:b/>
        </w:rPr>
        <w:t>辆</w:t>
      </w:r>
    </w:p>
    <w:p w14:paraId="187315A7">
      <w:pPr>
        <w:adjustRightInd w:val="0"/>
        <w:snapToGrid w:val="0"/>
        <w:spacing w:line="360" w:lineRule="auto"/>
        <w:ind w:left="210" w:leftChars="100" w:firstLine="210" w:firstLineChars="100"/>
        <w:rPr>
          <w:rFonts w:hint="eastAsia" w:ascii="宋体" w:hAnsi="宋体"/>
        </w:rPr>
      </w:pPr>
      <w:r>
        <w:rPr>
          <w:rFonts w:ascii="宋体" w:hAnsi="宋体"/>
        </w:rPr>
        <w:t>工程轨道车辆的技术参数在设计联络时提供。</w:t>
      </w:r>
    </w:p>
    <w:p w14:paraId="12126D21">
      <w:pPr>
        <w:spacing w:line="360" w:lineRule="auto"/>
        <w:ind w:firstLine="420" w:firstLineChars="200"/>
        <w:rPr>
          <w:rFonts w:hint="eastAsia" w:ascii="宋体" w:hAnsi="宋体"/>
        </w:rPr>
      </w:pPr>
      <w:r>
        <w:rPr>
          <w:rFonts w:hint="eastAsia" w:ascii="宋体" w:hAnsi="宋体"/>
        </w:rPr>
        <w:t>【注：以上参数为暂定，最后以车辆招标后车辆制造商提供的数值为准】</w:t>
      </w:r>
    </w:p>
    <w:p w14:paraId="67F14D13">
      <w:pPr>
        <w:pStyle w:val="11"/>
        <w:rPr>
          <w:rFonts w:hint="eastAsia" w:ascii="宋体" w:hAnsi="宋体"/>
          <w:sz w:val="21"/>
        </w:rPr>
      </w:pPr>
      <w:bookmarkStart w:id="24" w:name="_Toc14624"/>
      <w:bookmarkStart w:id="25" w:name="_Toc26839"/>
      <w:bookmarkStart w:id="26" w:name="_Toc38273395"/>
      <w:bookmarkStart w:id="27" w:name="_Toc5112171"/>
      <w:bookmarkStart w:id="28" w:name="_Toc20785"/>
      <w:r>
        <w:rPr>
          <w:rFonts w:hint="eastAsia" w:ascii="宋体" w:hAnsi="宋体"/>
          <w:sz w:val="21"/>
        </w:rPr>
        <w:t>5.数控不落轮镟床技术要求</w:t>
      </w:r>
      <w:bookmarkEnd w:id="24"/>
      <w:bookmarkEnd w:id="25"/>
      <w:bookmarkEnd w:id="26"/>
      <w:bookmarkEnd w:id="27"/>
      <w:bookmarkEnd w:id="28"/>
    </w:p>
    <w:p w14:paraId="2F26B3AF">
      <w:pPr>
        <w:adjustRightInd w:val="0"/>
        <w:snapToGrid w:val="0"/>
        <w:spacing w:line="360" w:lineRule="auto"/>
        <w:rPr>
          <w:rFonts w:hint="eastAsia" w:ascii="宋体" w:hAnsi="宋体" w:cs="Arial"/>
          <w:b/>
          <w:bCs/>
        </w:rPr>
      </w:pPr>
      <w:bookmarkStart w:id="29" w:name="_Toc27545"/>
      <w:r>
        <w:rPr>
          <w:rFonts w:hint="eastAsia" w:ascii="宋体" w:hAnsi="宋体" w:cs="Arial"/>
          <w:b/>
          <w:bCs/>
        </w:rPr>
        <w:t>5.1总体要求</w:t>
      </w:r>
      <w:bookmarkEnd w:id="29"/>
    </w:p>
    <w:p w14:paraId="7AC81BFC">
      <w:pPr>
        <w:pStyle w:val="5"/>
        <w:adjustRightInd w:val="0"/>
        <w:snapToGrid w:val="0"/>
        <w:ind w:left="567" w:hanging="567" w:hangingChars="270"/>
        <w:rPr>
          <w:rFonts w:hint="eastAsia"/>
          <w:sz w:val="21"/>
          <w:szCs w:val="21"/>
        </w:rPr>
      </w:pPr>
      <w:r>
        <w:rPr>
          <w:rFonts w:hint="eastAsia" w:cs="Arial"/>
          <w:bCs/>
          <w:sz w:val="21"/>
          <w:szCs w:val="21"/>
        </w:rPr>
        <w:t>5.1.1</w:t>
      </w:r>
      <w:r>
        <w:rPr>
          <w:rFonts w:hint="eastAsia"/>
          <w:sz w:val="21"/>
          <w:szCs w:val="21"/>
        </w:rPr>
        <w:t>设备应为配置合理、功能齐全、技术先进、性能优良、使用维修方便、运行安全可靠的全新产品。</w:t>
      </w:r>
    </w:p>
    <w:p w14:paraId="69E68376">
      <w:pPr>
        <w:adjustRightInd w:val="0"/>
        <w:snapToGrid w:val="0"/>
        <w:spacing w:line="360" w:lineRule="auto"/>
        <w:ind w:left="630" w:hanging="630" w:hangingChars="300"/>
        <w:rPr>
          <w:rFonts w:hint="eastAsia" w:ascii="宋体" w:hAnsi="宋体"/>
        </w:rPr>
      </w:pPr>
      <w:r>
        <w:rPr>
          <w:rFonts w:hint="eastAsia" w:ascii="宋体" w:hAnsi="宋体"/>
        </w:rPr>
        <w:t>5.1.2设备主要零部件应标准化、模块化，装配工艺性和互换性好。设备外购机电产品必须是先进、可靠的标准化系列产品，国家规定强制性认证产品必须通过认证。</w:t>
      </w:r>
    </w:p>
    <w:p w14:paraId="4B4E3BE1">
      <w:pPr>
        <w:adjustRightInd w:val="0"/>
        <w:snapToGrid w:val="0"/>
        <w:spacing w:line="360" w:lineRule="auto"/>
        <w:ind w:left="420" w:hanging="420" w:hangingChars="200"/>
        <w:rPr>
          <w:rFonts w:hint="eastAsia" w:ascii="宋体" w:hAnsi="宋体" w:cs="Arial"/>
          <w:bCs/>
        </w:rPr>
      </w:pPr>
      <w:r>
        <w:rPr>
          <w:rFonts w:hint="eastAsia" w:ascii="宋体" w:hAnsi="宋体" w:cs="Arial"/>
        </w:rPr>
        <w:t>5.1.3</w:t>
      </w:r>
      <w:r>
        <w:rPr>
          <w:rFonts w:hint="eastAsia" w:ascii="宋体" w:hAnsi="宋体"/>
        </w:rPr>
        <w:t>主要部件、控制系统均要求达到国际一流产品水平，设备设计应充分考虑少、免维护。</w:t>
      </w:r>
    </w:p>
    <w:p w14:paraId="135C03CD">
      <w:pPr>
        <w:pStyle w:val="5"/>
        <w:adjustRightInd w:val="0"/>
        <w:snapToGrid w:val="0"/>
        <w:ind w:left="630" w:hanging="630" w:hangingChars="300"/>
        <w:rPr>
          <w:rFonts w:hint="eastAsia"/>
          <w:sz w:val="21"/>
          <w:szCs w:val="21"/>
        </w:rPr>
      </w:pPr>
      <w:r>
        <w:rPr>
          <w:rFonts w:hint="eastAsia" w:cs="Arial"/>
          <w:sz w:val="21"/>
          <w:szCs w:val="21"/>
        </w:rPr>
        <w:t>5.1.4</w:t>
      </w:r>
      <w:r>
        <w:rPr>
          <w:rFonts w:hint="eastAsia"/>
          <w:sz w:val="21"/>
          <w:szCs w:val="21"/>
        </w:rPr>
        <w:t>零部件均应采用防高温老化、防水、防腐蚀的材料或其表面进行严格的防水与防腐蚀处理。</w:t>
      </w:r>
    </w:p>
    <w:p w14:paraId="4C0A99E0">
      <w:pPr>
        <w:pStyle w:val="5"/>
        <w:adjustRightInd w:val="0"/>
        <w:snapToGrid w:val="0"/>
        <w:ind w:left="355" w:hanging="354" w:hangingChars="169"/>
        <w:rPr>
          <w:rFonts w:hint="eastAsia"/>
          <w:sz w:val="21"/>
          <w:szCs w:val="21"/>
        </w:rPr>
      </w:pPr>
      <w:r>
        <w:rPr>
          <w:rFonts w:hint="eastAsia" w:cs="Arial"/>
          <w:sz w:val="21"/>
          <w:szCs w:val="21"/>
        </w:rPr>
        <w:t>5.1.5</w:t>
      </w:r>
      <w:r>
        <w:rPr>
          <w:rFonts w:hint="eastAsia"/>
          <w:sz w:val="21"/>
          <w:szCs w:val="21"/>
        </w:rPr>
        <w:t>设备结构应具有足够的刚度，铸件、焊接件应进行时效处理，寿命周期内不产生变形。</w:t>
      </w:r>
    </w:p>
    <w:p w14:paraId="4DBE0E60">
      <w:pPr>
        <w:pStyle w:val="5"/>
        <w:adjustRightInd w:val="0"/>
        <w:snapToGrid w:val="0"/>
        <w:ind w:left="565" w:hanging="564" w:hangingChars="269"/>
        <w:rPr>
          <w:rFonts w:hint="eastAsia"/>
          <w:sz w:val="21"/>
          <w:szCs w:val="21"/>
        </w:rPr>
      </w:pPr>
      <w:r>
        <w:rPr>
          <w:rFonts w:hint="eastAsia" w:cs="Arial"/>
          <w:sz w:val="21"/>
          <w:szCs w:val="21"/>
        </w:rPr>
        <w:t>5.1.6</w:t>
      </w:r>
      <w:r>
        <w:rPr>
          <w:rFonts w:hint="eastAsia"/>
          <w:sz w:val="21"/>
          <w:szCs w:val="21"/>
        </w:rPr>
        <w:t>机床的设计寿命应不少于30年，出厂机床应具有足够的精度储备。</w:t>
      </w:r>
      <w:r>
        <w:rPr>
          <w:rFonts w:hint="eastAsia"/>
          <w:sz w:val="21"/>
          <w:szCs w:val="21"/>
          <w:lang w:eastAsia="zh-CN"/>
        </w:rPr>
        <w:t>供应商</w:t>
      </w:r>
      <w:r>
        <w:rPr>
          <w:rFonts w:hint="eastAsia"/>
          <w:sz w:val="21"/>
          <w:szCs w:val="21"/>
        </w:rPr>
        <w:t>应提供设备日常保养及各个修程的间隔时间表和保养、维修内容。</w:t>
      </w:r>
    </w:p>
    <w:p w14:paraId="0F3A5737">
      <w:pPr>
        <w:pStyle w:val="5"/>
        <w:adjustRightInd w:val="0"/>
        <w:snapToGrid w:val="0"/>
        <w:ind w:left="565" w:hanging="564" w:hangingChars="269"/>
        <w:rPr>
          <w:rFonts w:hint="eastAsia"/>
          <w:sz w:val="21"/>
          <w:szCs w:val="21"/>
        </w:rPr>
      </w:pPr>
      <w:r>
        <w:rPr>
          <w:rFonts w:hint="eastAsia" w:cs="Arial"/>
          <w:sz w:val="21"/>
          <w:szCs w:val="21"/>
        </w:rPr>
        <w:t>5.1.7</w:t>
      </w:r>
      <w:r>
        <w:rPr>
          <w:rFonts w:hint="eastAsia"/>
          <w:sz w:val="21"/>
          <w:szCs w:val="21"/>
          <w:lang w:eastAsia="zh-CN"/>
        </w:rPr>
        <w:t>供应商</w:t>
      </w:r>
      <w:r>
        <w:rPr>
          <w:rFonts w:hint="eastAsia"/>
          <w:sz w:val="21"/>
          <w:szCs w:val="21"/>
        </w:rPr>
        <w:t>应完整、详细地用文件和图纸阐明设备的设计先进性、技术指标和功能、用途和特性、结构和性能、控制系统原理以及设备的可靠性（少维修及易维修）。</w:t>
      </w:r>
      <w:r>
        <w:rPr>
          <w:rFonts w:hint="eastAsia"/>
          <w:sz w:val="21"/>
          <w:szCs w:val="21"/>
          <w:lang w:eastAsia="zh-CN"/>
        </w:rPr>
        <w:t>供应商</w:t>
      </w:r>
      <w:r>
        <w:rPr>
          <w:rFonts w:hint="eastAsia"/>
          <w:sz w:val="21"/>
          <w:szCs w:val="21"/>
        </w:rPr>
        <w:t>在投标文件中需提供设备各部分的详细配置方案，主要部件的生产厂商及原产地等详细说明并填入相应表格，并对操作人员的安全保护、设备对环境保护的影响作出说明；</w:t>
      </w:r>
    </w:p>
    <w:p w14:paraId="4C308064">
      <w:pPr>
        <w:pStyle w:val="4"/>
        <w:spacing w:line="360" w:lineRule="auto"/>
        <w:rPr>
          <w:rFonts w:hint="eastAsia" w:ascii="宋体" w:hAnsi="宋体"/>
          <w:b/>
          <w:szCs w:val="21"/>
        </w:rPr>
      </w:pPr>
      <w:bookmarkStart w:id="30" w:name="_Toc8415"/>
      <w:r>
        <w:rPr>
          <w:rFonts w:hint="eastAsia" w:ascii="宋体" w:hAnsi="宋体"/>
          <w:b/>
          <w:szCs w:val="21"/>
        </w:rPr>
        <w:t>5</w:t>
      </w:r>
      <w:r>
        <w:rPr>
          <w:rFonts w:ascii="宋体" w:hAnsi="宋体"/>
          <w:b/>
          <w:szCs w:val="21"/>
        </w:rPr>
        <w:t>.</w:t>
      </w:r>
      <w:r>
        <w:rPr>
          <w:rFonts w:hint="eastAsia" w:ascii="宋体" w:hAnsi="宋体"/>
          <w:b/>
          <w:szCs w:val="21"/>
        </w:rPr>
        <w:t>2</w:t>
      </w:r>
      <w:r>
        <w:rPr>
          <w:rFonts w:ascii="宋体" w:hAnsi="宋体"/>
          <w:b/>
          <w:szCs w:val="21"/>
        </w:rPr>
        <w:t>主要功能</w:t>
      </w:r>
      <w:r>
        <w:rPr>
          <w:rFonts w:hint="eastAsia" w:ascii="宋体" w:hAnsi="宋体"/>
          <w:b/>
          <w:szCs w:val="21"/>
        </w:rPr>
        <w:t>要求</w:t>
      </w:r>
      <w:bookmarkEnd w:id="30"/>
    </w:p>
    <w:p w14:paraId="7BBA6AFE">
      <w:pPr>
        <w:spacing w:line="360" w:lineRule="auto"/>
        <w:rPr>
          <w:rFonts w:hint="eastAsia" w:ascii="宋体" w:hAnsi="宋体"/>
        </w:rPr>
      </w:pPr>
      <w:r>
        <w:rPr>
          <w:rFonts w:hint="eastAsia" w:ascii="宋体" w:hAnsi="宋体"/>
        </w:rPr>
        <w:t>5.2.1</w:t>
      </w:r>
      <w:r>
        <w:rPr>
          <w:rFonts w:ascii="宋体" w:hAnsi="宋体"/>
        </w:rPr>
        <w:t>具有</w:t>
      </w:r>
      <w:r>
        <w:rPr>
          <w:rFonts w:hint="eastAsia" w:ascii="宋体" w:hAnsi="宋体"/>
        </w:rPr>
        <w:t>各</w:t>
      </w:r>
      <w:r>
        <w:rPr>
          <w:rFonts w:ascii="宋体" w:hAnsi="宋体"/>
        </w:rPr>
        <w:t>种车轮轮廓形状曲线的编程、存储功能及程序控制功能</w:t>
      </w:r>
      <w:r>
        <w:rPr>
          <w:rFonts w:hint="eastAsia" w:ascii="宋体" w:hAnsi="宋体"/>
        </w:rPr>
        <w:t>。</w:t>
      </w:r>
    </w:p>
    <w:p w14:paraId="39A79D57">
      <w:pPr>
        <w:spacing w:line="360" w:lineRule="auto"/>
        <w:rPr>
          <w:rFonts w:hint="eastAsia" w:ascii="宋体" w:hAnsi="宋体"/>
        </w:rPr>
      </w:pPr>
      <w:r>
        <w:rPr>
          <w:rFonts w:hint="eastAsia" w:ascii="宋体" w:hAnsi="宋体"/>
        </w:rPr>
        <w:t>5.2.2车轮的踏面和轮缘修理加工功能（轮廓的最后尺寸待定）。</w:t>
      </w:r>
    </w:p>
    <w:p w14:paraId="6E4BF13D">
      <w:pPr>
        <w:spacing w:line="360" w:lineRule="auto"/>
        <w:ind w:left="420" w:hanging="420" w:hangingChars="200"/>
        <w:rPr>
          <w:rFonts w:hint="eastAsia" w:ascii="宋体" w:hAnsi="宋体"/>
        </w:rPr>
      </w:pPr>
      <w:r>
        <w:rPr>
          <w:rFonts w:hint="eastAsia" w:ascii="宋体" w:hAnsi="宋体"/>
        </w:rPr>
        <w:t>5.2.3</w:t>
      </w:r>
      <w:r>
        <w:rPr>
          <w:rFonts w:ascii="宋体" w:hAnsi="宋体"/>
        </w:rPr>
        <w:t>具备自动测量功能。可自动测量轮对内侧距、车轮直径、轮缘高度、轮缘厚度、轮对QR值及轮廓磨耗</w:t>
      </w:r>
      <w:r>
        <w:rPr>
          <w:rFonts w:hint="eastAsia" w:ascii="宋体" w:hAnsi="宋体"/>
        </w:rPr>
        <w:t>等相关参数。</w:t>
      </w:r>
    </w:p>
    <w:p w14:paraId="72729ACE">
      <w:pPr>
        <w:spacing w:line="360" w:lineRule="auto"/>
        <w:rPr>
          <w:rFonts w:hint="eastAsia" w:ascii="宋体" w:hAnsi="宋体"/>
        </w:rPr>
      </w:pPr>
      <w:r>
        <w:rPr>
          <w:rFonts w:hint="eastAsia" w:ascii="宋体" w:hAnsi="宋体"/>
        </w:rPr>
        <w:t>5.2.4机床应有安全、简便、可靠的列车轮对自动对中及定位夹紧锁定功能。</w:t>
      </w:r>
    </w:p>
    <w:p w14:paraId="31A9D589">
      <w:pPr>
        <w:spacing w:line="360" w:lineRule="auto"/>
        <w:ind w:left="630" w:hanging="630" w:hangingChars="300"/>
        <w:rPr>
          <w:rFonts w:hint="eastAsia" w:ascii="宋体" w:hAnsi="宋体"/>
        </w:rPr>
      </w:pPr>
      <w:r>
        <w:rPr>
          <w:rFonts w:hint="eastAsia" w:ascii="宋体" w:hAnsi="宋体"/>
        </w:rPr>
        <w:t>5.2.5机床应有可靠的轮对驱动装置，以保证在切削时驱动轮与轮对间无相对滑动。机床切削防滑功能，并在切削打滑(卡死)时能自动退刀或停机。</w:t>
      </w:r>
    </w:p>
    <w:p w14:paraId="5B71B69E">
      <w:pPr>
        <w:spacing w:line="360" w:lineRule="auto"/>
        <w:ind w:left="483" w:hanging="482" w:hangingChars="230"/>
        <w:rPr>
          <w:rFonts w:hint="eastAsia" w:ascii="宋体" w:hAnsi="宋体"/>
        </w:rPr>
      </w:pPr>
      <w:r>
        <w:rPr>
          <w:rFonts w:hint="eastAsia" w:ascii="宋体" w:hAnsi="宋体"/>
        </w:rPr>
        <w:t>5.2.6设备故障的自动诊断、检测、查询及报警显示功能，系统的显示和操作界面采用中文界面。</w:t>
      </w:r>
    </w:p>
    <w:p w14:paraId="3477C109">
      <w:pPr>
        <w:spacing w:line="360" w:lineRule="auto"/>
        <w:rPr>
          <w:rFonts w:hint="eastAsia" w:ascii="宋体" w:hAnsi="宋体"/>
        </w:rPr>
      </w:pPr>
      <w:r>
        <w:rPr>
          <w:rFonts w:hint="eastAsia" w:ascii="宋体" w:hAnsi="宋体"/>
        </w:rPr>
        <w:t>5.2.7</w:t>
      </w:r>
      <w:r>
        <w:rPr>
          <w:rFonts w:ascii="宋体" w:hAnsi="宋体"/>
        </w:rPr>
        <w:t>切削加工时的集尘和排烟功能</w:t>
      </w:r>
      <w:r>
        <w:rPr>
          <w:rFonts w:hint="eastAsia" w:ascii="宋体" w:hAnsi="宋体"/>
        </w:rPr>
        <w:t>，排烟装置镟轮时应满足烟尘的吸收和排放。</w:t>
      </w:r>
    </w:p>
    <w:p w14:paraId="713556D9">
      <w:pPr>
        <w:widowControl/>
        <w:overflowPunct w:val="0"/>
        <w:autoSpaceDE w:val="0"/>
        <w:autoSpaceDN w:val="0"/>
        <w:adjustRightInd w:val="0"/>
        <w:snapToGrid w:val="0"/>
        <w:spacing w:line="360" w:lineRule="auto"/>
        <w:jc w:val="left"/>
        <w:textAlignment w:val="baseline"/>
        <w:rPr>
          <w:rFonts w:hint="eastAsia" w:ascii="宋体" w:hAnsi="宋体"/>
        </w:rPr>
      </w:pPr>
      <w:r>
        <w:rPr>
          <w:rFonts w:hint="eastAsia" w:ascii="宋体" w:hAnsi="宋体"/>
        </w:rPr>
        <w:t>5.2.8镟削轮缘和踏面的操作可提供自动模式及手动模式2种模式。</w:t>
      </w:r>
    </w:p>
    <w:p w14:paraId="2651C835">
      <w:pPr>
        <w:widowControl/>
        <w:overflowPunct w:val="0"/>
        <w:autoSpaceDE w:val="0"/>
        <w:autoSpaceDN w:val="0"/>
        <w:adjustRightInd w:val="0"/>
        <w:snapToGrid w:val="0"/>
        <w:spacing w:line="360" w:lineRule="auto"/>
        <w:jc w:val="left"/>
        <w:textAlignment w:val="baseline"/>
        <w:rPr>
          <w:rFonts w:hint="eastAsia" w:ascii="宋体" w:hAnsi="宋体"/>
        </w:rPr>
      </w:pPr>
      <w:r>
        <w:rPr>
          <w:rFonts w:hint="eastAsia" w:ascii="宋体" w:hAnsi="宋体"/>
        </w:rPr>
        <w:t>5.2.9防误操作功能及已选择动作不能在现行状态实施时的报警显示功能。</w:t>
      </w:r>
    </w:p>
    <w:p w14:paraId="2A7A5905">
      <w:pPr>
        <w:widowControl/>
        <w:overflowPunct w:val="0"/>
        <w:autoSpaceDE w:val="0"/>
        <w:autoSpaceDN w:val="0"/>
        <w:adjustRightInd w:val="0"/>
        <w:snapToGrid w:val="0"/>
        <w:spacing w:line="360" w:lineRule="auto"/>
        <w:ind w:left="567" w:hanging="567" w:hangingChars="270"/>
        <w:jc w:val="left"/>
        <w:textAlignment w:val="baseline"/>
        <w:rPr>
          <w:rFonts w:hint="eastAsia" w:ascii="宋体" w:hAnsi="宋体"/>
        </w:rPr>
      </w:pPr>
      <w:r>
        <w:rPr>
          <w:rFonts w:hint="eastAsia" w:ascii="宋体" w:hAnsi="宋体"/>
        </w:rPr>
        <w:t>5.2.10机床应有完善的润滑系统，在系统控制下对各种运动组件进行自动（周期性）润滑或无污染手动润滑功能。</w:t>
      </w:r>
    </w:p>
    <w:p w14:paraId="32B5DE66">
      <w:pPr>
        <w:spacing w:line="360" w:lineRule="auto"/>
        <w:ind w:left="630" w:hanging="630" w:hangingChars="300"/>
        <w:rPr>
          <w:rFonts w:hint="eastAsia" w:ascii="宋体" w:hAnsi="宋体"/>
        </w:rPr>
      </w:pPr>
      <w:r>
        <w:rPr>
          <w:rFonts w:hint="eastAsia" w:ascii="宋体" w:hAnsi="宋体"/>
        </w:rPr>
        <w:t>5.2.11机床应有可靠、完善的控制系统和安全保护功能，与公铁两用车具有互锁功能，能够有效防止自动加工过程中的误动作和操作人员的误操作造成的人身、车辆和设备事故。</w:t>
      </w:r>
    </w:p>
    <w:p w14:paraId="0621B0C5">
      <w:pPr>
        <w:spacing w:line="360" w:lineRule="auto"/>
        <w:rPr>
          <w:rFonts w:hint="eastAsia" w:ascii="宋体" w:hAnsi="宋体"/>
        </w:rPr>
      </w:pPr>
      <w:r>
        <w:rPr>
          <w:rFonts w:hint="eastAsia" w:ascii="宋体" w:hAnsi="宋体"/>
        </w:rPr>
        <w:t>5.2.12设备具有防潮功能。</w:t>
      </w:r>
    </w:p>
    <w:p w14:paraId="55873481">
      <w:pPr>
        <w:spacing w:line="360" w:lineRule="auto"/>
        <w:rPr>
          <w:rFonts w:hint="eastAsia" w:ascii="宋体" w:hAnsi="宋体"/>
        </w:rPr>
      </w:pPr>
      <w:r>
        <w:rPr>
          <w:rFonts w:hint="eastAsia" w:ascii="宋体" w:hAnsi="宋体"/>
        </w:rPr>
        <w:t>5.2.13数据采集、整理、储存和打印功能。</w:t>
      </w:r>
    </w:p>
    <w:p w14:paraId="3EF628E2">
      <w:pPr>
        <w:spacing w:line="360" w:lineRule="auto"/>
        <w:rPr>
          <w:rFonts w:hint="eastAsia" w:ascii="宋体" w:hAnsi="宋体"/>
        </w:rPr>
      </w:pPr>
      <w:r>
        <w:rPr>
          <w:rFonts w:hint="eastAsia" w:ascii="宋体" w:hAnsi="宋体"/>
        </w:rPr>
        <w:t>5.2.14机床的调整和校正功能。</w:t>
      </w:r>
    </w:p>
    <w:p w14:paraId="048B2EC9">
      <w:pPr>
        <w:widowControl/>
        <w:overflowPunct w:val="0"/>
        <w:autoSpaceDE w:val="0"/>
        <w:autoSpaceDN w:val="0"/>
        <w:adjustRightInd w:val="0"/>
        <w:snapToGrid w:val="0"/>
        <w:spacing w:line="360" w:lineRule="auto"/>
        <w:jc w:val="left"/>
        <w:textAlignment w:val="baseline"/>
        <w:rPr>
          <w:rFonts w:hint="eastAsia" w:ascii="宋体" w:hAnsi="宋体"/>
        </w:rPr>
      </w:pPr>
      <w:r>
        <w:rPr>
          <w:rFonts w:hint="eastAsia" w:ascii="宋体" w:hAnsi="宋体"/>
        </w:rPr>
        <w:t>5.2.15远程通信诊断服务功能与接口。</w:t>
      </w:r>
    </w:p>
    <w:p w14:paraId="6A8E8FD6">
      <w:pPr>
        <w:widowControl/>
        <w:overflowPunct w:val="0"/>
        <w:autoSpaceDE w:val="0"/>
        <w:autoSpaceDN w:val="0"/>
        <w:adjustRightInd w:val="0"/>
        <w:snapToGrid w:val="0"/>
        <w:spacing w:line="360" w:lineRule="auto"/>
        <w:jc w:val="left"/>
        <w:textAlignment w:val="baseline"/>
        <w:rPr>
          <w:rFonts w:hint="eastAsia" w:ascii="宋体" w:hAnsi="宋体"/>
        </w:rPr>
      </w:pPr>
      <w:r>
        <w:rPr>
          <w:rFonts w:hint="eastAsia" w:ascii="宋体" w:hAnsi="宋体"/>
        </w:rPr>
        <w:t>5.2.16控制系统具有离线程序修改、编辑、复制等功能。</w:t>
      </w:r>
    </w:p>
    <w:p w14:paraId="7A30F522">
      <w:pPr>
        <w:widowControl/>
        <w:overflowPunct w:val="0"/>
        <w:autoSpaceDE w:val="0"/>
        <w:autoSpaceDN w:val="0"/>
        <w:adjustRightInd w:val="0"/>
        <w:snapToGrid w:val="0"/>
        <w:spacing w:line="360" w:lineRule="auto"/>
        <w:jc w:val="left"/>
        <w:textAlignment w:val="baseline"/>
        <w:rPr>
          <w:rFonts w:hint="eastAsia" w:ascii="宋体" w:hAnsi="宋体"/>
        </w:rPr>
      </w:pPr>
      <w:r>
        <w:rPr>
          <w:rFonts w:hint="eastAsia" w:ascii="宋体" w:hAnsi="宋体"/>
        </w:rPr>
        <w:t>5.2.17</w:t>
      </w:r>
      <w:r>
        <w:rPr>
          <w:rFonts w:ascii="宋体" w:hAnsi="宋体"/>
        </w:rPr>
        <w:t>机床控制系统具有“加工建议”功能</w:t>
      </w:r>
      <w:r>
        <w:rPr>
          <w:rFonts w:hint="eastAsia" w:ascii="宋体" w:hAnsi="宋体"/>
        </w:rPr>
        <w:t>。</w:t>
      </w:r>
    </w:p>
    <w:p w14:paraId="433904E0">
      <w:pPr>
        <w:widowControl/>
        <w:overflowPunct w:val="0"/>
        <w:autoSpaceDE w:val="0"/>
        <w:autoSpaceDN w:val="0"/>
        <w:adjustRightInd w:val="0"/>
        <w:snapToGrid w:val="0"/>
        <w:spacing w:line="360" w:lineRule="auto"/>
        <w:ind w:left="630" w:hanging="630" w:hangingChars="300"/>
        <w:jc w:val="left"/>
        <w:textAlignment w:val="baseline"/>
        <w:rPr>
          <w:rFonts w:hint="eastAsia" w:ascii="宋体" w:hAnsi="宋体"/>
        </w:rPr>
      </w:pPr>
      <w:r>
        <w:rPr>
          <w:rFonts w:hint="eastAsia" w:ascii="宋体" w:hAnsi="宋体"/>
        </w:rPr>
        <w:t>5.2.18机床应具有切屑自动处理装置，具有切削废料破碎及排送功能，可将铁屑传送至地面。排屑装置可以有效地防止排屑器被铁屑卡死和堵塞功能。</w:t>
      </w:r>
    </w:p>
    <w:p w14:paraId="7D7CD206">
      <w:pPr>
        <w:widowControl/>
        <w:overflowPunct w:val="0"/>
        <w:autoSpaceDE w:val="0"/>
        <w:autoSpaceDN w:val="0"/>
        <w:adjustRightInd w:val="0"/>
        <w:snapToGrid w:val="0"/>
        <w:spacing w:line="360" w:lineRule="auto"/>
        <w:ind w:left="630" w:hanging="630" w:hangingChars="300"/>
        <w:jc w:val="left"/>
        <w:textAlignment w:val="baseline"/>
        <w:rPr>
          <w:rFonts w:hint="eastAsia" w:ascii="宋体" w:hAnsi="宋体"/>
        </w:rPr>
      </w:pPr>
      <w:r>
        <w:rPr>
          <w:rFonts w:hint="eastAsia" w:ascii="宋体" w:hAnsi="宋体"/>
        </w:rPr>
        <w:t>5.2.19机床基坑需设有防尘罩，该防尘罩需采用壁厚不低于3mm的不锈钢骨架，搭配厚度不低于10mm的高强度钢化玻璃，以防止设备长期使用后灰尘造成控制器件误操作及液压器件故障。</w:t>
      </w:r>
    </w:p>
    <w:p w14:paraId="3892296A">
      <w:pPr>
        <w:widowControl/>
        <w:overflowPunct w:val="0"/>
        <w:autoSpaceDE w:val="0"/>
        <w:autoSpaceDN w:val="0"/>
        <w:adjustRightInd w:val="0"/>
        <w:snapToGrid w:val="0"/>
        <w:spacing w:line="360" w:lineRule="auto"/>
        <w:ind w:left="630" w:hanging="630" w:hangingChars="300"/>
        <w:jc w:val="left"/>
        <w:textAlignment w:val="baseline"/>
        <w:rPr>
          <w:rFonts w:hint="eastAsia" w:ascii="宋体" w:hAnsi="宋体"/>
        </w:rPr>
      </w:pPr>
      <w:r>
        <w:rPr>
          <w:rFonts w:hint="eastAsia" w:ascii="宋体" w:hAnsi="宋体"/>
        </w:rPr>
        <w:t>5.2.20机床基坑内需配置国内或国际知名品牌,功率为1.5匹的冷暖空调（由</w:t>
      </w:r>
      <w:r>
        <w:rPr>
          <w:rFonts w:hint="eastAsia" w:ascii="宋体" w:hAnsi="宋体"/>
          <w:lang w:eastAsia="zh-CN"/>
        </w:rPr>
        <w:t>供应商</w:t>
      </w:r>
      <w:r>
        <w:rPr>
          <w:rFonts w:hint="eastAsia" w:ascii="宋体" w:hAnsi="宋体"/>
        </w:rPr>
        <w:t>提供，包含在投标报价中），以保证操作人员的舒适度。</w:t>
      </w:r>
    </w:p>
    <w:p w14:paraId="5A4B9D73">
      <w:pPr>
        <w:widowControl/>
        <w:overflowPunct w:val="0"/>
        <w:autoSpaceDE w:val="0"/>
        <w:autoSpaceDN w:val="0"/>
        <w:adjustRightInd w:val="0"/>
        <w:snapToGrid w:val="0"/>
        <w:spacing w:line="360" w:lineRule="auto"/>
        <w:ind w:left="630" w:hanging="630" w:hangingChars="300"/>
        <w:jc w:val="left"/>
        <w:textAlignment w:val="baseline"/>
        <w:rPr>
          <w:rFonts w:hint="eastAsia" w:ascii="宋体" w:hAnsi="宋体"/>
        </w:rPr>
      </w:pPr>
      <w:r>
        <w:rPr>
          <w:rFonts w:hint="eastAsia" w:ascii="宋体" w:hAnsi="宋体"/>
        </w:rPr>
        <w:t>5.2.21机床基坑内需配置国内或国际知名品牌的小型潜水泵（由</w:t>
      </w:r>
      <w:r>
        <w:rPr>
          <w:rFonts w:hint="eastAsia" w:ascii="宋体" w:hAnsi="宋体"/>
          <w:lang w:eastAsia="zh-CN"/>
        </w:rPr>
        <w:t>供应商</w:t>
      </w:r>
      <w:r>
        <w:rPr>
          <w:rFonts w:hint="eastAsia" w:ascii="宋体" w:hAnsi="宋体"/>
        </w:rPr>
        <w:t>提供，包含在投标报价中）,该潜水泵功率需不低于1500W、抽水孔径1寸、扬程20米，同时需要配备相同孔径的</w:t>
      </w:r>
      <w:r>
        <w:rPr>
          <w:rFonts w:ascii="宋体" w:hAnsi="宋体"/>
        </w:rPr>
        <w:t>50米水带</w:t>
      </w:r>
      <w:r>
        <w:rPr>
          <w:rFonts w:hint="eastAsia" w:ascii="宋体" w:hAnsi="宋体"/>
        </w:rPr>
        <w:t>和一个</w:t>
      </w:r>
      <w:r>
        <w:rPr>
          <w:rFonts w:ascii="宋体" w:hAnsi="宋体"/>
        </w:rPr>
        <w:t>220V</w:t>
      </w:r>
      <w:r>
        <w:rPr>
          <w:rFonts w:hint="eastAsia" w:ascii="宋体" w:hAnsi="宋体"/>
        </w:rPr>
        <w:t>、</w:t>
      </w:r>
      <w:r>
        <w:rPr>
          <w:rFonts w:ascii="宋体" w:hAnsi="宋体"/>
        </w:rPr>
        <w:t>50米</w:t>
      </w:r>
      <w:r>
        <w:rPr>
          <w:rFonts w:hint="eastAsia" w:ascii="宋体" w:hAnsi="宋体"/>
        </w:rPr>
        <w:t>的线辊子。</w:t>
      </w:r>
    </w:p>
    <w:p w14:paraId="21E42BBB">
      <w:pPr>
        <w:adjustRightInd w:val="0"/>
        <w:snapToGrid w:val="0"/>
        <w:spacing w:line="360" w:lineRule="auto"/>
        <w:rPr>
          <w:rFonts w:hint="eastAsia" w:ascii="宋体" w:hAnsi="宋体" w:cs="Arial"/>
          <w:b/>
          <w:bCs/>
        </w:rPr>
      </w:pPr>
      <w:bookmarkStart w:id="31" w:name="_Toc7915"/>
      <w:r>
        <w:rPr>
          <w:rFonts w:hint="eastAsia" w:ascii="宋体" w:hAnsi="宋体" w:cs="Arial"/>
          <w:b/>
          <w:bCs/>
        </w:rPr>
        <w:t>5.3</w:t>
      </w:r>
      <w:r>
        <w:rPr>
          <w:rFonts w:ascii="宋体" w:hAnsi="宋体" w:cs="Arial"/>
          <w:b/>
          <w:bCs/>
        </w:rPr>
        <w:t>技术参数</w:t>
      </w:r>
      <w:bookmarkEnd w:id="31"/>
    </w:p>
    <w:p w14:paraId="496E6E70">
      <w:pPr>
        <w:adjustRightInd w:val="0"/>
        <w:snapToGrid w:val="0"/>
        <w:spacing w:line="360" w:lineRule="auto"/>
        <w:rPr>
          <w:rFonts w:hint="eastAsia" w:ascii="宋体" w:hAnsi="宋体" w:cs="Arial"/>
          <w:b/>
          <w:bCs/>
        </w:rPr>
      </w:pPr>
      <w:r>
        <w:rPr>
          <w:rFonts w:hint="eastAsia" w:ascii="宋体" w:hAnsi="宋体" w:cs="Arial"/>
          <w:bCs/>
        </w:rPr>
        <w:tab/>
      </w:r>
      <w:r>
        <w:rPr>
          <w:rFonts w:ascii="宋体" w:hAnsi="宋体" w:cs="Arial"/>
          <w:b/>
          <w:bCs/>
        </w:rPr>
        <w:t>切削参数</w:t>
      </w:r>
    </w:p>
    <w:p w14:paraId="2C8F9FCC">
      <w:pPr>
        <w:numPr>
          <w:ilvl w:val="0"/>
          <w:numId w:val="3"/>
        </w:numPr>
        <w:adjustRightInd w:val="0"/>
        <w:snapToGrid w:val="0"/>
        <w:spacing w:line="360" w:lineRule="auto"/>
        <w:rPr>
          <w:rFonts w:hint="eastAsia" w:ascii="宋体" w:hAnsi="宋体" w:cs="Arial"/>
        </w:rPr>
      </w:pPr>
      <w:r>
        <w:rPr>
          <w:rFonts w:ascii="宋体" w:hAnsi="宋体" w:cs="Arial"/>
        </w:rPr>
        <w:t>轨距</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1435mm</w:t>
      </w:r>
    </w:p>
    <w:p w14:paraId="1CF2182C">
      <w:pPr>
        <w:numPr>
          <w:ilvl w:val="0"/>
          <w:numId w:val="3"/>
        </w:numPr>
        <w:adjustRightInd w:val="0"/>
        <w:snapToGrid w:val="0"/>
        <w:spacing w:line="360" w:lineRule="auto"/>
        <w:rPr>
          <w:rFonts w:hint="eastAsia" w:ascii="宋体" w:hAnsi="宋体" w:cs="Arial"/>
        </w:rPr>
      </w:pPr>
      <w:r>
        <w:rPr>
          <w:rFonts w:ascii="宋体" w:hAnsi="宋体" w:cs="Arial"/>
        </w:rPr>
        <w:t>轮对直径加工范围（踏面直径）</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Φ</w:t>
      </w:r>
      <w:r>
        <w:rPr>
          <w:rFonts w:hint="eastAsia" w:ascii="宋体" w:hAnsi="宋体" w:cs="Arial"/>
        </w:rPr>
        <w:t>5</w:t>
      </w:r>
      <w:r>
        <w:rPr>
          <w:rFonts w:ascii="宋体" w:hAnsi="宋体" w:cs="Arial"/>
        </w:rPr>
        <w:t>00～Φ1</w:t>
      </w:r>
      <w:r>
        <w:rPr>
          <w:rFonts w:hint="eastAsia" w:ascii="宋体" w:hAnsi="宋体" w:cs="Arial"/>
        </w:rPr>
        <w:t>3</w:t>
      </w:r>
      <w:r>
        <w:rPr>
          <w:rFonts w:ascii="宋体" w:hAnsi="宋体" w:cs="Arial"/>
        </w:rPr>
        <w:t>00mm</w:t>
      </w:r>
      <w:r>
        <w:rPr>
          <w:rFonts w:hint="eastAsia" w:ascii="宋体" w:hAnsi="宋体" w:cs="Arial"/>
        </w:rPr>
        <w:t>（优于招标文件要求）</w:t>
      </w:r>
    </w:p>
    <w:p w14:paraId="0E961945">
      <w:pPr>
        <w:numPr>
          <w:ilvl w:val="0"/>
          <w:numId w:val="3"/>
        </w:numPr>
        <w:adjustRightInd w:val="0"/>
        <w:snapToGrid w:val="0"/>
        <w:spacing w:line="360" w:lineRule="auto"/>
        <w:rPr>
          <w:rFonts w:hint="eastAsia" w:ascii="宋体" w:hAnsi="宋体" w:cs="Arial"/>
        </w:rPr>
      </w:pPr>
      <w:r>
        <w:rPr>
          <w:rFonts w:ascii="宋体" w:hAnsi="宋体" w:cs="Arial"/>
        </w:rPr>
        <w:t>轮对内侧距</w:t>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1353±2mm</w:t>
      </w:r>
    </w:p>
    <w:p w14:paraId="2F5411E8">
      <w:pPr>
        <w:numPr>
          <w:ilvl w:val="0"/>
          <w:numId w:val="3"/>
        </w:numPr>
        <w:adjustRightInd w:val="0"/>
        <w:snapToGrid w:val="0"/>
        <w:spacing w:line="360" w:lineRule="auto"/>
        <w:rPr>
          <w:rFonts w:hint="eastAsia" w:ascii="宋体" w:hAnsi="宋体" w:cs="Arial"/>
        </w:rPr>
      </w:pPr>
      <w:r>
        <w:rPr>
          <w:rFonts w:ascii="宋体" w:hAnsi="宋体" w:cs="Arial"/>
        </w:rPr>
        <w:t>轮对轴长范围</w:t>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hint="eastAsia" w:ascii="宋体" w:hAnsi="宋体" w:cs="Arial"/>
        </w:rPr>
        <w:t>1600～2600mm（优于招标文件要求）</w:t>
      </w:r>
    </w:p>
    <w:p w14:paraId="473FC0B5">
      <w:pPr>
        <w:numPr>
          <w:ilvl w:val="0"/>
          <w:numId w:val="3"/>
        </w:numPr>
        <w:adjustRightInd w:val="0"/>
        <w:snapToGrid w:val="0"/>
        <w:spacing w:line="360" w:lineRule="auto"/>
        <w:rPr>
          <w:rFonts w:hint="eastAsia" w:ascii="宋体" w:hAnsi="宋体" w:cs="Arial"/>
        </w:rPr>
      </w:pPr>
      <w:r>
        <w:rPr>
          <w:rFonts w:ascii="宋体" w:hAnsi="宋体" w:cs="Arial"/>
        </w:rPr>
        <w:t>车轮宽度</w:t>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90～145mm</w:t>
      </w:r>
    </w:p>
    <w:p w14:paraId="73D0A7E8">
      <w:pPr>
        <w:numPr>
          <w:ilvl w:val="0"/>
          <w:numId w:val="3"/>
        </w:numPr>
        <w:adjustRightInd w:val="0"/>
        <w:snapToGrid w:val="0"/>
        <w:spacing w:line="360" w:lineRule="auto"/>
        <w:rPr>
          <w:rFonts w:hint="eastAsia" w:ascii="宋体" w:hAnsi="宋体" w:cs="Arial"/>
        </w:rPr>
      </w:pPr>
      <w:r>
        <w:rPr>
          <w:rFonts w:ascii="宋体" w:hAnsi="宋体" w:cs="Arial"/>
        </w:rPr>
        <w:t>最大允许轴重</w:t>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18T</w:t>
      </w:r>
    </w:p>
    <w:p w14:paraId="26C66C6A">
      <w:pPr>
        <w:numPr>
          <w:ilvl w:val="0"/>
          <w:numId w:val="3"/>
        </w:numPr>
        <w:adjustRightInd w:val="0"/>
        <w:snapToGrid w:val="0"/>
        <w:spacing w:line="360" w:lineRule="auto"/>
        <w:rPr>
          <w:rFonts w:hint="eastAsia" w:ascii="宋体" w:hAnsi="宋体" w:cs="Arial"/>
        </w:rPr>
      </w:pPr>
      <w:r>
        <w:rPr>
          <w:rFonts w:ascii="宋体" w:hAnsi="宋体" w:cs="Arial"/>
        </w:rPr>
        <w:t>主切削力(max)</w:t>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hint="eastAsia" w:ascii="宋体" w:hAnsi="宋体" w:cs="Arial"/>
        </w:rPr>
        <w:t>26</w:t>
      </w:r>
      <w:r>
        <w:rPr>
          <w:rFonts w:ascii="宋体" w:hAnsi="宋体" w:cs="Arial"/>
        </w:rPr>
        <w:t>kN</w:t>
      </w:r>
    </w:p>
    <w:p w14:paraId="2539DF2C">
      <w:pPr>
        <w:numPr>
          <w:ilvl w:val="0"/>
          <w:numId w:val="3"/>
        </w:numPr>
        <w:tabs>
          <w:tab w:val="left" w:pos="5773"/>
        </w:tabs>
        <w:adjustRightInd w:val="0"/>
        <w:snapToGrid w:val="0"/>
        <w:spacing w:line="360" w:lineRule="auto"/>
        <w:rPr>
          <w:rFonts w:hint="eastAsia" w:ascii="宋体" w:hAnsi="宋体" w:cs="Arial"/>
        </w:rPr>
      </w:pPr>
      <w:r>
        <w:rPr>
          <w:rFonts w:ascii="宋体" w:hAnsi="宋体" w:cs="Arial"/>
        </w:rPr>
        <w:t>刀块截面尺寸</w:t>
      </w:r>
      <w:r>
        <w:rPr>
          <w:rFonts w:ascii="宋体" w:hAnsi="宋体" w:cs="Arial"/>
        </w:rPr>
        <w:tab/>
      </w:r>
      <w:r>
        <w:rPr>
          <w:rFonts w:ascii="宋体" w:hAnsi="宋体" w:cs="Arial"/>
        </w:rPr>
        <w:tab/>
      </w:r>
      <w:r>
        <w:rPr>
          <w:rFonts w:ascii="宋体" w:hAnsi="宋体" w:cs="Arial"/>
        </w:rPr>
        <w:tab/>
      </w:r>
      <w:r>
        <w:rPr>
          <w:rFonts w:hint="eastAsia" w:ascii="宋体" w:hAnsi="宋体" w:cs="Arial"/>
        </w:rPr>
        <w:t>190</w:t>
      </w:r>
      <w:r>
        <w:rPr>
          <w:rFonts w:ascii="宋体" w:hAnsi="宋体" w:cs="Arial"/>
        </w:rPr>
        <w:t>mm</w:t>
      </w:r>
      <w:r>
        <w:rPr>
          <w:rFonts w:ascii="宋体" w:hAnsi="宋体" w:cs="Arial"/>
          <w:vertAlign w:val="superscript"/>
        </w:rPr>
        <w:t>2</w:t>
      </w:r>
    </w:p>
    <w:p w14:paraId="38336B75">
      <w:pPr>
        <w:adjustRightInd w:val="0"/>
        <w:snapToGrid w:val="0"/>
        <w:spacing w:line="360" w:lineRule="auto"/>
        <w:ind w:firstLine="632" w:firstLineChars="300"/>
        <w:rPr>
          <w:rFonts w:hint="eastAsia" w:ascii="宋体" w:hAnsi="宋体" w:cs="Arial"/>
          <w:b/>
        </w:rPr>
      </w:pPr>
      <w:r>
        <w:rPr>
          <w:rFonts w:ascii="宋体" w:hAnsi="宋体" w:cs="Arial"/>
          <w:b/>
        </w:rPr>
        <w:t>传动</w:t>
      </w:r>
      <w:r>
        <w:rPr>
          <w:rFonts w:hint="eastAsia" w:ascii="宋体" w:hAnsi="宋体" w:cs="Arial"/>
          <w:b/>
          <w:bCs/>
        </w:rPr>
        <w:t>参数</w:t>
      </w:r>
    </w:p>
    <w:p w14:paraId="27AE447E">
      <w:pPr>
        <w:numPr>
          <w:ilvl w:val="0"/>
          <w:numId w:val="4"/>
        </w:numPr>
        <w:adjustRightInd w:val="0"/>
        <w:snapToGrid w:val="0"/>
        <w:spacing w:line="360" w:lineRule="auto"/>
        <w:rPr>
          <w:rFonts w:hint="eastAsia" w:ascii="宋体" w:hAnsi="宋体" w:cs="Arial"/>
        </w:rPr>
      </w:pPr>
      <w:r>
        <w:rPr>
          <w:rFonts w:ascii="宋体" w:hAnsi="宋体" w:cs="Arial"/>
        </w:rPr>
        <w:t>主轴转速级数</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无级可调</w:t>
      </w:r>
    </w:p>
    <w:p w14:paraId="63865935">
      <w:pPr>
        <w:numPr>
          <w:ilvl w:val="0"/>
          <w:numId w:val="4"/>
        </w:numPr>
        <w:adjustRightInd w:val="0"/>
        <w:snapToGrid w:val="0"/>
        <w:spacing w:line="360" w:lineRule="auto"/>
        <w:rPr>
          <w:rFonts w:hint="eastAsia" w:ascii="宋体" w:hAnsi="宋体" w:cs="Arial"/>
        </w:rPr>
      </w:pPr>
      <w:r>
        <w:rPr>
          <w:rFonts w:ascii="宋体" w:hAnsi="宋体" w:cs="Arial"/>
        </w:rPr>
        <w:t>主轴转速范围</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0-</w:t>
      </w:r>
      <w:r>
        <w:rPr>
          <w:rFonts w:ascii="宋体" w:hAnsi="宋体" w:cs="Arial"/>
        </w:rPr>
        <w:t>6500r/min</w:t>
      </w:r>
    </w:p>
    <w:p w14:paraId="34193260">
      <w:pPr>
        <w:numPr>
          <w:ilvl w:val="0"/>
          <w:numId w:val="4"/>
        </w:numPr>
        <w:adjustRightInd w:val="0"/>
        <w:snapToGrid w:val="0"/>
        <w:spacing w:line="360" w:lineRule="auto"/>
        <w:rPr>
          <w:rFonts w:hint="eastAsia" w:ascii="宋体" w:hAnsi="宋体" w:cs="Arial"/>
        </w:rPr>
      </w:pPr>
      <w:r>
        <w:rPr>
          <w:rFonts w:ascii="宋体" w:hAnsi="宋体" w:cs="Arial"/>
        </w:rPr>
        <w:t>摩擦驱动滚轮直径</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190</w:t>
      </w:r>
      <w:r>
        <w:rPr>
          <w:rFonts w:ascii="宋体" w:hAnsi="宋体" w:cs="Arial"/>
        </w:rPr>
        <w:t>mm</w:t>
      </w:r>
    </w:p>
    <w:p w14:paraId="45AE6AD6">
      <w:pPr>
        <w:numPr>
          <w:ilvl w:val="0"/>
          <w:numId w:val="4"/>
        </w:numPr>
        <w:adjustRightInd w:val="0"/>
        <w:snapToGrid w:val="0"/>
        <w:spacing w:line="360" w:lineRule="auto"/>
        <w:rPr>
          <w:rFonts w:hint="eastAsia" w:ascii="宋体" w:hAnsi="宋体" w:cs="Arial"/>
        </w:rPr>
      </w:pPr>
      <w:r>
        <w:rPr>
          <w:rFonts w:ascii="宋体" w:hAnsi="宋体" w:cs="Arial"/>
        </w:rPr>
        <w:t>两摩擦驱动滚轮中心距</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370</w:t>
      </w:r>
      <w:r>
        <w:rPr>
          <w:rFonts w:ascii="宋体" w:hAnsi="宋体" w:cs="Arial"/>
        </w:rPr>
        <w:t>mm</w:t>
      </w:r>
    </w:p>
    <w:p w14:paraId="4F45650A">
      <w:pPr>
        <w:numPr>
          <w:ilvl w:val="0"/>
          <w:numId w:val="4"/>
        </w:numPr>
        <w:adjustRightInd w:val="0"/>
        <w:snapToGrid w:val="0"/>
        <w:spacing w:line="360" w:lineRule="auto"/>
        <w:rPr>
          <w:rFonts w:hint="eastAsia" w:ascii="宋体" w:hAnsi="宋体" w:cs="Arial"/>
        </w:rPr>
      </w:pPr>
      <w:r>
        <w:rPr>
          <w:rFonts w:ascii="宋体" w:hAnsi="宋体" w:cs="Arial"/>
        </w:rPr>
        <w:t>摩擦轮架垂直最大行程</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120</w:t>
      </w:r>
      <w:r>
        <w:rPr>
          <w:rFonts w:ascii="宋体" w:hAnsi="宋体" w:cs="Arial"/>
        </w:rPr>
        <w:t>mm</w:t>
      </w:r>
    </w:p>
    <w:p w14:paraId="34420D8C">
      <w:pPr>
        <w:numPr>
          <w:ilvl w:val="0"/>
          <w:numId w:val="4"/>
        </w:numPr>
        <w:adjustRightInd w:val="0"/>
        <w:snapToGrid w:val="0"/>
        <w:spacing w:line="360" w:lineRule="auto"/>
        <w:rPr>
          <w:rFonts w:hint="eastAsia" w:ascii="宋体" w:hAnsi="宋体" w:cs="Arial"/>
        </w:rPr>
      </w:pPr>
      <w:r>
        <w:rPr>
          <w:rFonts w:ascii="宋体" w:hAnsi="宋体" w:cs="Arial"/>
        </w:rPr>
        <w:t>摩擦轮架快速上升速度</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572</w:t>
      </w:r>
      <w:r>
        <w:rPr>
          <w:rFonts w:ascii="宋体" w:hAnsi="宋体" w:cs="Arial"/>
        </w:rPr>
        <w:t>mm/min</w:t>
      </w:r>
    </w:p>
    <w:p w14:paraId="650E7053">
      <w:pPr>
        <w:numPr>
          <w:ilvl w:val="0"/>
          <w:numId w:val="4"/>
        </w:numPr>
        <w:adjustRightInd w:val="0"/>
        <w:snapToGrid w:val="0"/>
        <w:spacing w:line="360" w:lineRule="auto"/>
        <w:rPr>
          <w:rFonts w:hint="eastAsia" w:ascii="宋体" w:hAnsi="宋体" w:cs="Arial"/>
        </w:rPr>
      </w:pPr>
      <w:r>
        <w:rPr>
          <w:rFonts w:ascii="宋体" w:hAnsi="宋体" w:cs="Arial"/>
        </w:rPr>
        <w:t>摩擦轮架快速下降速度</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与车辆轴重有关</w:t>
      </w:r>
    </w:p>
    <w:p w14:paraId="75F81064">
      <w:pPr>
        <w:adjustRightInd w:val="0"/>
        <w:snapToGrid w:val="0"/>
        <w:spacing w:line="360" w:lineRule="auto"/>
        <w:ind w:firstLine="632" w:firstLineChars="300"/>
        <w:rPr>
          <w:rFonts w:hint="eastAsia" w:ascii="宋体" w:hAnsi="宋体" w:cs="Arial"/>
          <w:b/>
        </w:rPr>
      </w:pPr>
      <w:r>
        <w:rPr>
          <w:rFonts w:ascii="宋体" w:hAnsi="宋体" w:cs="Arial"/>
          <w:b/>
        </w:rPr>
        <w:t>进给参数</w:t>
      </w:r>
    </w:p>
    <w:p w14:paraId="4899D047">
      <w:pPr>
        <w:numPr>
          <w:ilvl w:val="0"/>
          <w:numId w:val="5"/>
        </w:numPr>
        <w:adjustRightInd w:val="0"/>
        <w:snapToGrid w:val="0"/>
        <w:spacing w:line="360" w:lineRule="auto"/>
        <w:rPr>
          <w:rFonts w:hint="eastAsia" w:ascii="宋体" w:hAnsi="宋体" w:cs="Arial"/>
        </w:rPr>
      </w:pPr>
      <w:r>
        <w:rPr>
          <w:rFonts w:ascii="宋体" w:hAnsi="宋体" w:cs="Arial"/>
        </w:rPr>
        <w:t>座标轴数</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每个刀架二轴（X、Z）</w:t>
      </w:r>
    </w:p>
    <w:p w14:paraId="4FD808B0">
      <w:pPr>
        <w:numPr>
          <w:ilvl w:val="0"/>
          <w:numId w:val="5"/>
        </w:numPr>
        <w:adjustRightInd w:val="0"/>
        <w:snapToGrid w:val="0"/>
        <w:spacing w:line="360" w:lineRule="auto"/>
        <w:rPr>
          <w:rFonts w:hint="eastAsia" w:ascii="宋体" w:hAnsi="宋体" w:cs="Arial"/>
        </w:rPr>
      </w:pPr>
      <w:r>
        <w:rPr>
          <w:rFonts w:ascii="宋体" w:hAnsi="宋体" w:cs="Arial"/>
        </w:rPr>
        <w:t>刀架进给级数</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无级</w:t>
      </w:r>
    </w:p>
    <w:p w14:paraId="2DD21A0F">
      <w:pPr>
        <w:numPr>
          <w:ilvl w:val="0"/>
          <w:numId w:val="5"/>
        </w:numPr>
        <w:adjustRightInd w:val="0"/>
        <w:snapToGrid w:val="0"/>
        <w:spacing w:line="360" w:lineRule="auto"/>
        <w:rPr>
          <w:rFonts w:hint="eastAsia" w:ascii="宋体" w:hAnsi="宋体" w:cs="Arial"/>
        </w:rPr>
      </w:pPr>
      <w:r>
        <w:rPr>
          <w:rFonts w:ascii="宋体" w:hAnsi="宋体" w:cs="Arial"/>
        </w:rPr>
        <w:t>刀架工作行程</w:t>
      </w:r>
    </w:p>
    <w:p w14:paraId="703E8E48">
      <w:pPr>
        <w:adjustRightInd w:val="0"/>
        <w:snapToGrid w:val="0"/>
        <w:spacing w:line="360" w:lineRule="auto"/>
        <w:ind w:firstLine="1365" w:firstLineChars="650"/>
        <w:rPr>
          <w:rFonts w:hint="eastAsia" w:ascii="宋体" w:hAnsi="宋体" w:cs="Arial"/>
        </w:rPr>
      </w:pPr>
      <w:r>
        <w:rPr>
          <w:rFonts w:ascii="宋体" w:hAnsi="宋体" w:cs="Arial"/>
        </w:rPr>
        <w:t>横向（X）</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295mm</w:t>
      </w:r>
    </w:p>
    <w:p w14:paraId="2AE56262">
      <w:pPr>
        <w:adjustRightInd w:val="0"/>
        <w:snapToGrid w:val="0"/>
        <w:spacing w:line="360" w:lineRule="auto"/>
        <w:ind w:firstLine="1365" w:firstLineChars="650"/>
        <w:rPr>
          <w:rFonts w:hint="eastAsia" w:ascii="宋体" w:hAnsi="宋体" w:cs="Arial"/>
        </w:rPr>
      </w:pPr>
      <w:r>
        <w:rPr>
          <w:rFonts w:ascii="宋体" w:hAnsi="宋体" w:cs="Arial"/>
        </w:rPr>
        <w:t>纵向（Z）</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837.5mm</w:t>
      </w:r>
    </w:p>
    <w:p w14:paraId="3CFC17C1">
      <w:pPr>
        <w:numPr>
          <w:ilvl w:val="0"/>
          <w:numId w:val="5"/>
        </w:numPr>
        <w:adjustRightInd w:val="0"/>
        <w:snapToGrid w:val="0"/>
        <w:spacing w:line="360" w:lineRule="auto"/>
        <w:rPr>
          <w:rFonts w:hint="eastAsia" w:ascii="宋体" w:hAnsi="宋体" w:cs="Arial"/>
        </w:rPr>
      </w:pPr>
      <w:r>
        <w:rPr>
          <w:rFonts w:ascii="宋体" w:hAnsi="宋体" w:cs="Arial"/>
        </w:rPr>
        <w:t>刀架快速移动速度</w:t>
      </w:r>
    </w:p>
    <w:p w14:paraId="2E280BE6">
      <w:pPr>
        <w:adjustRightInd w:val="0"/>
        <w:snapToGrid w:val="0"/>
        <w:spacing w:line="360" w:lineRule="auto"/>
        <w:ind w:firstLine="1365" w:firstLineChars="650"/>
        <w:rPr>
          <w:rFonts w:hint="eastAsia" w:ascii="宋体" w:hAnsi="宋体" w:cs="Arial"/>
        </w:rPr>
      </w:pPr>
      <w:r>
        <w:rPr>
          <w:rFonts w:ascii="宋体" w:hAnsi="宋体" w:cs="Arial"/>
        </w:rPr>
        <w:t>横向（X）</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3000</w:t>
      </w:r>
      <w:r>
        <w:rPr>
          <w:rFonts w:ascii="宋体" w:hAnsi="宋体" w:cs="Arial"/>
        </w:rPr>
        <w:t>mm/min</w:t>
      </w:r>
    </w:p>
    <w:p w14:paraId="515D46A7">
      <w:pPr>
        <w:adjustRightInd w:val="0"/>
        <w:snapToGrid w:val="0"/>
        <w:spacing w:line="360" w:lineRule="auto"/>
        <w:ind w:firstLine="1365" w:firstLineChars="650"/>
        <w:rPr>
          <w:rFonts w:hint="eastAsia" w:ascii="宋体" w:hAnsi="宋体" w:cs="Arial"/>
        </w:rPr>
      </w:pPr>
      <w:r>
        <w:rPr>
          <w:rFonts w:ascii="宋体" w:hAnsi="宋体" w:cs="Arial"/>
        </w:rPr>
        <w:t>纵向（Z）</w:t>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47</w:t>
      </w:r>
      <w:r>
        <w:rPr>
          <w:rFonts w:hint="eastAsia" w:ascii="宋体" w:hAnsi="宋体" w:cs="Arial"/>
        </w:rPr>
        <w:t>00</w:t>
      </w:r>
      <w:r>
        <w:rPr>
          <w:rFonts w:ascii="宋体" w:hAnsi="宋体" w:cs="Arial"/>
        </w:rPr>
        <w:t>mm/min</w:t>
      </w:r>
    </w:p>
    <w:p w14:paraId="026C552E">
      <w:pPr>
        <w:adjustRightInd w:val="0"/>
        <w:snapToGrid w:val="0"/>
        <w:spacing w:line="360" w:lineRule="auto"/>
        <w:ind w:firstLine="632" w:firstLineChars="300"/>
        <w:rPr>
          <w:rFonts w:hint="eastAsia" w:ascii="宋体" w:hAnsi="宋体" w:cs="Arial"/>
          <w:b/>
        </w:rPr>
      </w:pPr>
      <w:r>
        <w:rPr>
          <w:rFonts w:ascii="宋体" w:hAnsi="宋体" w:cs="Arial"/>
          <w:b/>
        </w:rPr>
        <w:t>切削用量</w:t>
      </w:r>
    </w:p>
    <w:p w14:paraId="110C7764">
      <w:pPr>
        <w:numPr>
          <w:ilvl w:val="0"/>
          <w:numId w:val="6"/>
        </w:numPr>
        <w:adjustRightInd w:val="0"/>
        <w:snapToGrid w:val="0"/>
        <w:spacing w:line="360" w:lineRule="auto"/>
        <w:rPr>
          <w:rFonts w:hint="eastAsia" w:ascii="宋体" w:hAnsi="宋体" w:cs="Arial"/>
        </w:rPr>
      </w:pPr>
      <w:r>
        <w:rPr>
          <w:rFonts w:ascii="宋体" w:hAnsi="宋体" w:cs="Arial"/>
        </w:rPr>
        <w:t>切削速度范围</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0-305m/min</w:t>
      </w:r>
    </w:p>
    <w:p w14:paraId="264CFB38">
      <w:pPr>
        <w:numPr>
          <w:ilvl w:val="0"/>
          <w:numId w:val="6"/>
        </w:numPr>
        <w:adjustRightInd w:val="0"/>
        <w:snapToGrid w:val="0"/>
        <w:spacing w:line="360" w:lineRule="auto"/>
        <w:rPr>
          <w:rFonts w:hint="eastAsia" w:ascii="宋体" w:hAnsi="宋体" w:cs="Arial"/>
        </w:rPr>
      </w:pPr>
      <w:r>
        <w:rPr>
          <w:rFonts w:ascii="宋体" w:hAnsi="宋体" w:cs="Arial"/>
        </w:rPr>
        <w:t>常用进给量范围</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0-2mm/r</w:t>
      </w:r>
    </w:p>
    <w:p w14:paraId="724E4D30">
      <w:pPr>
        <w:numPr>
          <w:ilvl w:val="0"/>
          <w:numId w:val="6"/>
        </w:numPr>
        <w:adjustRightInd w:val="0"/>
        <w:snapToGrid w:val="0"/>
        <w:spacing w:line="360" w:lineRule="auto"/>
        <w:rPr>
          <w:rFonts w:hint="eastAsia" w:ascii="宋体" w:hAnsi="宋体" w:cs="Arial"/>
        </w:rPr>
      </w:pPr>
      <w:r>
        <w:rPr>
          <w:rFonts w:ascii="宋体" w:hAnsi="宋体" w:cs="Arial"/>
        </w:rPr>
        <w:t>最大切削深度</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6</w:t>
      </w:r>
      <w:r>
        <w:rPr>
          <w:rFonts w:ascii="宋体" w:hAnsi="宋体" w:cs="Arial"/>
        </w:rPr>
        <w:t>mm/每刀</w:t>
      </w:r>
    </w:p>
    <w:p w14:paraId="40F40CF8">
      <w:pPr>
        <w:numPr>
          <w:ilvl w:val="0"/>
          <w:numId w:val="7"/>
        </w:numPr>
        <w:adjustRightInd w:val="0"/>
        <w:snapToGrid w:val="0"/>
        <w:spacing w:line="360" w:lineRule="auto"/>
        <w:rPr>
          <w:rFonts w:hint="eastAsia" w:ascii="宋体" w:hAnsi="宋体" w:cs="Arial"/>
        </w:rPr>
      </w:pPr>
      <w:r>
        <w:rPr>
          <w:rFonts w:ascii="宋体" w:hAnsi="宋体" w:cs="Arial"/>
        </w:rPr>
        <w:t>最小设定单位</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0.01mm</w:t>
      </w:r>
    </w:p>
    <w:p w14:paraId="6DA25A89">
      <w:pPr>
        <w:numPr>
          <w:ilvl w:val="0"/>
          <w:numId w:val="7"/>
        </w:numPr>
        <w:adjustRightInd w:val="0"/>
        <w:snapToGrid w:val="0"/>
        <w:spacing w:line="360" w:lineRule="auto"/>
        <w:rPr>
          <w:rFonts w:hint="eastAsia" w:ascii="宋体" w:hAnsi="宋体" w:cs="Arial"/>
        </w:rPr>
      </w:pPr>
      <w:r>
        <w:rPr>
          <w:rFonts w:ascii="宋体" w:hAnsi="宋体" w:cs="Arial"/>
        </w:rPr>
        <w:t>最大切削断面面积</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6</w:t>
      </w:r>
      <w:r>
        <w:rPr>
          <w:rFonts w:ascii="宋体" w:hAnsi="宋体" w:cs="Arial"/>
        </w:rPr>
        <w:t>mm</w:t>
      </w:r>
      <w:r>
        <w:rPr>
          <w:rFonts w:ascii="宋体" w:hAnsi="宋体" w:cs="Arial"/>
          <w:vertAlign w:val="superscript"/>
        </w:rPr>
        <w:t>2</w:t>
      </w:r>
    </w:p>
    <w:p w14:paraId="08782ED0">
      <w:pPr>
        <w:adjustRightInd w:val="0"/>
        <w:snapToGrid w:val="0"/>
        <w:spacing w:line="360" w:lineRule="auto"/>
        <w:ind w:firstLine="632" w:firstLineChars="300"/>
        <w:rPr>
          <w:rFonts w:hint="eastAsia" w:ascii="宋体" w:hAnsi="宋体" w:cs="Arial"/>
          <w:b/>
          <w:bCs/>
        </w:rPr>
      </w:pPr>
      <w:r>
        <w:rPr>
          <w:rFonts w:ascii="宋体" w:hAnsi="宋体" w:cs="Arial"/>
          <w:b/>
          <w:bCs/>
        </w:rPr>
        <w:t>轴向定位</w:t>
      </w:r>
    </w:p>
    <w:p w14:paraId="05A88A8D">
      <w:pPr>
        <w:numPr>
          <w:ilvl w:val="0"/>
          <w:numId w:val="8"/>
        </w:numPr>
        <w:adjustRightInd w:val="0"/>
        <w:snapToGrid w:val="0"/>
        <w:spacing w:line="360" w:lineRule="auto"/>
        <w:rPr>
          <w:rFonts w:hint="eastAsia" w:ascii="宋体" w:hAnsi="宋体" w:cs="Arial"/>
        </w:rPr>
      </w:pPr>
      <w:r>
        <w:rPr>
          <w:rFonts w:ascii="宋体" w:hAnsi="宋体" w:cs="Arial"/>
        </w:rPr>
        <w:t>定位轮数量</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2</w:t>
      </w:r>
      <w:r>
        <w:rPr>
          <w:rFonts w:ascii="宋体" w:hAnsi="宋体" w:cs="Arial"/>
        </w:rPr>
        <w:t>个</w:t>
      </w:r>
    </w:p>
    <w:p w14:paraId="2DD80469">
      <w:pPr>
        <w:numPr>
          <w:ilvl w:val="0"/>
          <w:numId w:val="8"/>
        </w:numPr>
        <w:adjustRightInd w:val="0"/>
        <w:snapToGrid w:val="0"/>
        <w:spacing w:line="360" w:lineRule="auto"/>
        <w:rPr>
          <w:rFonts w:hint="eastAsia" w:ascii="宋体" w:hAnsi="宋体" w:cs="Arial"/>
        </w:rPr>
      </w:pPr>
      <w:r>
        <w:rPr>
          <w:rFonts w:ascii="宋体" w:hAnsi="宋体" w:cs="Arial"/>
        </w:rPr>
        <w:t>垂直方向最大行程</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135</w:t>
      </w:r>
      <w:r>
        <w:rPr>
          <w:rFonts w:ascii="宋体" w:hAnsi="宋体" w:cs="Arial"/>
        </w:rPr>
        <w:t>mm</w:t>
      </w:r>
    </w:p>
    <w:p w14:paraId="532E0B08">
      <w:pPr>
        <w:numPr>
          <w:ilvl w:val="0"/>
          <w:numId w:val="8"/>
        </w:numPr>
        <w:adjustRightInd w:val="0"/>
        <w:snapToGrid w:val="0"/>
        <w:spacing w:line="360" w:lineRule="auto"/>
        <w:rPr>
          <w:rFonts w:hint="eastAsia" w:ascii="宋体" w:hAnsi="宋体" w:cs="Arial"/>
        </w:rPr>
      </w:pPr>
      <w:r>
        <w:rPr>
          <w:rFonts w:ascii="宋体" w:hAnsi="宋体" w:cs="Arial"/>
        </w:rPr>
        <w:t>水平移动最大行程</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65mm</w:t>
      </w:r>
    </w:p>
    <w:p w14:paraId="286A1869">
      <w:pPr>
        <w:adjustRightInd w:val="0"/>
        <w:snapToGrid w:val="0"/>
        <w:spacing w:line="360" w:lineRule="auto"/>
        <w:ind w:firstLine="632" w:firstLineChars="300"/>
        <w:rPr>
          <w:rFonts w:hint="eastAsia" w:ascii="宋体" w:hAnsi="宋体" w:cs="Arial"/>
          <w:b/>
          <w:bCs/>
        </w:rPr>
      </w:pPr>
      <w:r>
        <w:rPr>
          <w:rFonts w:ascii="宋体" w:hAnsi="宋体" w:cs="Arial"/>
          <w:b/>
          <w:bCs/>
        </w:rPr>
        <w:t>外轴箱支承</w:t>
      </w:r>
    </w:p>
    <w:p w14:paraId="09373A35">
      <w:pPr>
        <w:numPr>
          <w:ilvl w:val="0"/>
          <w:numId w:val="9"/>
        </w:numPr>
        <w:adjustRightInd w:val="0"/>
        <w:snapToGrid w:val="0"/>
        <w:spacing w:line="360" w:lineRule="auto"/>
        <w:rPr>
          <w:rFonts w:hint="eastAsia" w:ascii="宋体" w:hAnsi="宋体" w:cs="Arial"/>
        </w:rPr>
      </w:pPr>
      <w:r>
        <w:rPr>
          <w:rFonts w:ascii="宋体" w:hAnsi="宋体" w:cs="Arial"/>
        </w:rPr>
        <w:t>外轴箱支承数量</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2套</w:t>
      </w:r>
    </w:p>
    <w:p w14:paraId="26C0B05D">
      <w:pPr>
        <w:numPr>
          <w:ilvl w:val="0"/>
          <w:numId w:val="9"/>
        </w:numPr>
        <w:adjustRightInd w:val="0"/>
        <w:snapToGrid w:val="0"/>
        <w:spacing w:line="360" w:lineRule="auto"/>
        <w:rPr>
          <w:rFonts w:hint="eastAsia" w:ascii="宋体" w:hAnsi="宋体" w:cs="Arial"/>
        </w:rPr>
      </w:pPr>
      <w:r>
        <w:rPr>
          <w:rFonts w:ascii="宋体" w:hAnsi="宋体" w:cs="Arial"/>
        </w:rPr>
        <w:t>外轴箱支承垂直方向最大行程</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 xml:space="preserve">    2</w:t>
      </w:r>
      <w:r>
        <w:rPr>
          <w:rFonts w:ascii="宋体" w:hAnsi="宋体" w:cs="Arial"/>
        </w:rPr>
        <w:t>4</w:t>
      </w:r>
      <w:r>
        <w:rPr>
          <w:rFonts w:hint="eastAsia" w:ascii="宋体" w:hAnsi="宋体" w:cs="Arial"/>
        </w:rPr>
        <w:t>0</w:t>
      </w:r>
      <w:r>
        <w:rPr>
          <w:rFonts w:ascii="宋体" w:hAnsi="宋体" w:cs="Arial"/>
        </w:rPr>
        <w:t>mm</w:t>
      </w:r>
    </w:p>
    <w:p w14:paraId="493AA099">
      <w:pPr>
        <w:numPr>
          <w:ilvl w:val="0"/>
          <w:numId w:val="9"/>
        </w:numPr>
        <w:adjustRightInd w:val="0"/>
        <w:snapToGrid w:val="0"/>
        <w:spacing w:line="360" w:lineRule="auto"/>
        <w:rPr>
          <w:rFonts w:hint="eastAsia" w:ascii="宋体" w:hAnsi="宋体" w:cs="Arial"/>
        </w:rPr>
      </w:pPr>
      <w:r>
        <w:rPr>
          <w:rFonts w:ascii="宋体" w:hAnsi="宋体" w:cs="Arial"/>
        </w:rPr>
        <w:t>单套外轴箱支承垂直方向最大支撑力</w:t>
      </w:r>
      <w:r>
        <w:rPr>
          <w:rFonts w:hint="eastAsia" w:ascii="宋体" w:hAnsi="宋体" w:cs="Arial"/>
        </w:rPr>
        <w:tab/>
      </w:r>
      <w:r>
        <w:rPr>
          <w:rFonts w:hint="eastAsia" w:ascii="宋体" w:hAnsi="宋体" w:cs="Arial"/>
        </w:rPr>
        <w:tab/>
      </w:r>
      <w:r>
        <w:rPr>
          <w:rFonts w:hint="eastAsia" w:ascii="宋体" w:hAnsi="宋体" w:cs="Arial"/>
        </w:rPr>
        <w:t xml:space="preserve">    2.5t</w:t>
      </w:r>
    </w:p>
    <w:p w14:paraId="692FEBFD">
      <w:pPr>
        <w:adjustRightInd w:val="0"/>
        <w:snapToGrid w:val="0"/>
        <w:spacing w:line="360" w:lineRule="auto"/>
        <w:ind w:firstLine="632" w:firstLineChars="300"/>
        <w:rPr>
          <w:rFonts w:hint="eastAsia" w:ascii="宋体" w:hAnsi="宋体" w:cs="Arial"/>
          <w:b/>
          <w:bCs/>
        </w:rPr>
      </w:pPr>
      <w:r>
        <w:rPr>
          <w:rFonts w:ascii="宋体" w:hAnsi="宋体" w:cs="Arial"/>
          <w:b/>
          <w:bCs/>
        </w:rPr>
        <w:t>压下装置</w:t>
      </w:r>
    </w:p>
    <w:p w14:paraId="6E7D4404">
      <w:pPr>
        <w:numPr>
          <w:ilvl w:val="0"/>
          <w:numId w:val="10"/>
        </w:numPr>
        <w:adjustRightInd w:val="0"/>
        <w:snapToGrid w:val="0"/>
        <w:spacing w:line="360" w:lineRule="auto"/>
        <w:rPr>
          <w:rFonts w:hint="eastAsia" w:ascii="宋体" w:hAnsi="宋体" w:cs="Arial"/>
        </w:rPr>
      </w:pPr>
      <w:r>
        <w:rPr>
          <w:rFonts w:ascii="宋体" w:hAnsi="宋体" w:cs="Arial"/>
        </w:rPr>
        <w:t>压下装置数量</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2套</w:t>
      </w:r>
    </w:p>
    <w:p w14:paraId="56A73800">
      <w:pPr>
        <w:numPr>
          <w:ilvl w:val="0"/>
          <w:numId w:val="10"/>
        </w:numPr>
        <w:adjustRightInd w:val="0"/>
        <w:snapToGrid w:val="0"/>
        <w:spacing w:line="360" w:lineRule="auto"/>
        <w:rPr>
          <w:rFonts w:hint="eastAsia" w:ascii="宋体" w:hAnsi="宋体" w:cs="Arial"/>
        </w:rPr>
      </w:pPr>
      <w:r>
        <w:rPr>
          <w:rFonts w:ascii="宋体" w:hAnsi="宋体" w:cs="Arial"/>
        </w:rPr>
        <w:t>压下装置垂直移动最大行程</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 xml:space="preserve">    </w:t>
      </w:r>
      <w:r>
        <w:rPr>
          <w:rFonts w:ascii="宋体" w:hAnsi="宋体" w:cs="Arial"/>
        </w:rPr>
        <w:t>5</w:t>
      </w:r>
      <w:r>
        <w:rPr>
          <w:rFonts w:hint="eastAsia" w:ascii="宋体" w:hAnsi="宋体" w:cs="Arial"/>
        </w:rPr>
        <w:t>00</w:t>
      </w:r>
      <w:r>
        <w:rPr>
          <w:rFonts w:ascii="宋体" w:hAnsi="宋体" w:cs="Arial"/>
        </w:rPr>
        <w:t>mm</w:t>
      </w:r>
    </w:p>
    <w:p w14:paraId="681C3D3A">
      <w:pPr>
        <w:numPr>
          <w:ilvl w:val="0"/>
          <w:numId w:val="10"/>
        </w:numPr>
        <w:adjustRightInd w:val="0"/>
        <w:snapToGrid w:val="0"/>
        <w:spacing w:line="360" w:lineRule="auto"/>
        <w:rPr>
          <w:rFonts w:hint="eastAsia" w:ascii="宋体" w:hAnsi="宋体" w:cs="Arial"/>
        </w:rPr>
      </w:pPr>
      <w:r>
        <w:rPr>
          <w:rFonts w:ascii="宋体" w:hAnsi="宋体" w:cs="Arial"/>
        </w:rPr>
        <w:t>压下装置水平移动最大行程</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 xml:space="preserve">    350</w:t>
      </w:r>
      <w:r>
        <w:rPr>
          <w:rFonts w:ascii="宋体" w:hAnsi="宋体" w:cs="Arial"/>
        </w:rPr>
        <w:t>mm</w:t>
      </w:r>
    </w:p>
    <w:p w14:paraId="1E65C31F">
      <w:pPr>
        <w:adjustRightInd w:val="0"/>
        <w:snapToGrid w:val="0"/>
        <w:spacing w:line="360" w:lineRule="auto"/>
        <w:ind w:firstLine="632" w:firstLineChars="300"/>
        <w:rPr>
          <w:rFonts w:hint="eastAsia" w:ascii="宋体" w:hAnsi="宋体" w:cs="Arial"/>
          <w:b/>
          <w:bCs/>
        </w:rPr>
      </w:pPr>
      <w:r>
        <w:rPr>
          <w:rFonts w:ascii="宋体" w:hAnsi="宋体" w:cs="Arial"/>
          <w:b/>
          <w:bCs/>
        </w:rPr>
        <w:t>轨道装置</w:t>
      </w:r>
    </w:p>
    <w:p w14:paraId="40FB4910">
      <w:pPr>
        <w:numPr>
          <w:ilvl w:val="0"/>
          <w:numId w:val="11"/>
        </w:numPr>
        <w:adjustRightInd w:val="0"/>
        <w:snapToGrid w:val="0"/>
        <w:spacing w:line="360" w:lineRule="auto"/>
        <w:rPr>
          <w:rFonts w:hint="eastAsia" w:ascii="宋体" w:hAnsi="宋体" w:cs="Arial"/>
        </w:rPr>
      </w:pPr>
      <w:r>
        <w:rPr>
          <w:rFonts w:ascii="宋体" w:hAnsi="宋体" w:cs="Arial"/>
        </w:rPr>
        <w:t>轨道装置移动最大行程</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 xml:space="preserve">   </w:t>
      </w:r>
      <w:r>
        <w:rPr>
          <w:rFonts w:ascii="宋体" w:hAnsi="宋体" w:cs="Arial"/>
        </w:rPr>
        <w:t>1050mm</w:t>
      </w:r>
    </w:p>
    <w:p w14:paraId="032ECBA0">
      <w:pPr>
        <w:numPr>
          <w:ilvl w:val="0"/>
          <w:numId w:val="11"/>
        </w:numPr>
        <w:adjustRightInd w:val="0"/>
        <w:snapToGrid w:val="0"/>
        <w:spacing w:line="360" w:lineRule="auto"/>
        <w:rPr>
          <w:rFonts w:hint="eastAsia" w:ascii="宋体" w:hAnsi="宋体" w:cs="Arial"/>
        </w:rPr>
      </w:pPr>
      <w:r>
        <w:rPr>
          <w:rFonts w:ascii="宋体" w:hAnsi="宋体" w:cs="Arial"/>
        </w:rPr>
        <w:t>轨道装置快速移动速度</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 xml:space="preserve">   1</w:t>
      </w:r>
      <w:r>
        <w:rPr>
          <w:rFonts w:ascii="宋体" w:hAnsi="宋体" w:cs="Arial"/>
        </w:rPr>
        <w:t>1</w:t>
      </w:r>
      <w:r>
        <w:rPr>
          <w:rFonts w:hint="eastAsia" w:ascii="宋体" w:hAnsi="宋体" w:cs="Arial"/>
        </w:rPr>
        <w:t>00</w:t>
      </w:r>
      <w:r>
        <w:rPr>
          <w:rFonts w:ascii="宋体" w:hAnsi="宋体" w:cs="Arial"/>
        </w:rPr>
        <w:t>mm/min</w:t>
      </w:r>
    </w:p>
    <w:p w14:paraId="35466050">
      <w:pPr>
        <w:adjustRightInd w:val="0"/>
        <w:snapToGrid w:val="0"/>
        <w:spacing w:line="360" w:lineRule="auto"/>
        <w:ind w:firstLine="632" w:firstLineChars="300"/>
        <w:rPr>
          <w:rFonts w:hint="eastAsia" w:ascii="宋体" w:hAnsi="宋体" w:cs="Arial"/>
          <w:b/>
          <w:bCs/>
        </w:rPr>
      </w:pPr>
      <w:r>
        <w:rPr>
          <w:rFonts w:ascii="宋体" w:hAnsi="宋体" w:cs="Arial"/>
          <w:b/>
          <w:bCs/>
        </w:rPr>
        <w:t>测量装置</w:t>
      </w:r>
    </w:p>
    <w:p w14:paraId="67E9B6D4">
      <w:pPr>
        <w:numPr>
          <w:ilvl w:val="0"/>
          <w:numId w:val="12"/>
        </w:numPr>
        <w:adjustRightInd w:val="0"/>
        <w:snapToGrid w:val="0"/>
        <w:spacing w:line="360" w:lineRule="auto"/>
        <w:rPr>
          <w:rFonts w:hint="eastAsia" w:ascii="宋体" w:hAnsi="宋体" w:cs="Arial"/>
        </w:rPr>
      </w:pPr>
      <w:r>
        <w:rPr>
          <w:rFonts w:ascii="宋体" w:hAnsi="宋体" w:cs="Arial"/>
        </w:rPr>
        <w:t>直径测量</w:t>
      </w:r>
    </w:p>
    <w:p w14:paraId="0C17C4BA">
      <w:pPr>
        <w:adjustRightInd w:val="0"/>
        <w:snapToGrid w:val="0"/>
        <w:spacing w:line="360" w:lineRule="auto"/>
        <w:ind w:firstLine="1365" w:firstLineChars="650"/>
        <w:rPr>
          <w:rFonts w:hint="eastAsia" w:ascii="宋体" w:hAnsi="宋体" w:cs="Arial"/>
        </w:rPr>
      </w:pPr>
      <w:r>
        <w:rPr>
          <w:rFonts w:ascii="宋体" w:hAnsi="宋体" w:cs="Arial"/>
        </w:rPr>
        <w:t>直径测量滚轮数量</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2个</w:t>
      </w:r>
    </w:p>
    <w:p w14:paraId="06E2C1A8">
      <w:pPr>
        <w:adjustRightInd w:val="0"/>
        <w:snapToGrid w:val="0"/>
        <w:spacing w:line="360" w:lineRule="auto"/>
        <w:ind w:firstLine="1365" w:firstLineChars="650"/>
        <w:rPr>
          <w:rFonts w:hint="eastAsia" w:ascii="宋体" w:hAnsi="宋体" w:cs="Arial"/>
        </w:rPr>
      </w:pPr>
      <w:r>
        <w:rPr>
          <w:rFonts w:ascii="宋体" w:hAnsi="宋体" w:cs="Arial"/>
        </w:rPr>
        <w:t>直径测量滚轮直径</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80</w:t>
      </w:r>
      <w:r>
        <w:rPr>
          <w:rFonts w:ascii="宋体" w:hAnsi="宋体" w:cs="Arial"/>
        </w:rPr>
        <w:t>mm</w:t>
      </w:r>
    </w:p>
    <w:p w14:paraId="442BF258">
      <w:pPr>
        <w:numPr>
          <w:ilvl w:val="0"/>
          <w:numId w:val="12"/>
        </w:numPr>
        <w:adjustRightInd w:val="0"/>
        <w:snapToGrid w:val="0"/>
        <w:spacing w:line="360" w:lineRule="auto"/>
        <w:rPr>
          <w:rFonts w:hint="eastAsia" w:ascii="宋体" w:hAnsi="宋体" w:cs="Arial"/>
        </w:rPr>
      </w:pPr>
      <w:r>
        <w:rPr>
          <w:rFonts w:ascii="宋体" w:hAnsi="宋体" w:cs="Arial"/>
        </w:rPr>
        <w:t>定位磨损测量装置</w:t>
      </w:r>
      <w:r>
        <w:rPr>
          <w:rFonts w:hint="eastAsia" w:ascii="宋体" w:hAnsi="宋体" w:cs="Arial"/>
        </w:rPr>
        <w:tab/>
      </w:r>
      <w:r>
        <w:rPr>
          <w:rFonts w:hint="eastAsia" w:ascii="宋体" w:hAnsi="宋体" w:cs="Arial"/>
        </w:rPr>
        <w:t xml:space="preserve">                        采用测量滚轮形式</w:t>
      </w:r>
    </w:p>
    <w:p w14:paraId="64FCE92B">
      <w:pPr>
        <w:adjustRightInd w:val="0"/>
        <w:snapToGrid w:val="0"/>
        <w:spacing w:line="360" w:lineRule="auto"/>
        <w:ind w:firstLine="1365" w:firstLineChars="650"/>
        <w:rPr>
          <w:rFonts w:hint="eastAsia" w:ascii="宋体" w:hAnsi="宋体" w:cs="Arial"/>
        </w:rPr>
      </w:pPr>
      <w:r>
        <w:rPr>
          <w:rFonts w:ascii="宋体" w:hAnsi="宋体" w:cs="Arial"/>
        </w:rPr>
        <w:t>定位磨损测量装置</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2套</w:t>
      </w:r>
    </w:p>
    <w:p w14:paraId="5589F03C">
      <w:pPr>
        <w:adjustRightInd w:val="0"/>
        <w:snapToGrid w:val="0"/>
        <w:spacing w:line="360" w:lineRule="auto"/>
        <w:ind w:firstLine="1365" w:firstLineChars="650"/>
        <w:rPr>
          <w:rFonts w:hint="eastAsia" w:ascii="宋体" w:hAnsi="宋体" w:cs="Arial"/>
        </w:rPr>
      </w:pPr>
      <w:r>
        <w:rPr>
          <w:rFonts w:ascii="宋体" w:hAnsi="宋体" w:cs="Arial"/>
        </w:rPr>
        <w:t xml:space="preserve">定位磨损测量滚轮直径                  </w:t>
      </w:r>
      <w:r>
        <w:rPr>
          <w:rFonts w:hint="eastAsia" w:ascii="宋体" w:hAnsi="宋体" w:cs="Arial"/>
        </w:rPr>
        <w:t xml:space="preserve">    </w:t>
      </w:r>
      <w:r>
        <w:rPr>
          <w:rFonts w:ascii="宋体" w:hAnsi="宋体" w:cs="Arial"/>
        </w:rPr>
        <w:t xml:space="preserve"> 80mm</w:t>
      </w:r>
    </w:p>
    <w:p w14:paraId="27D210EE">
      <w:pPr>
        <w:adjustRightInd w:val="0"/>
        <w:snapToGrid w:val="0"/>
        <w:spacing w:line="360" w:lineRule="auto"/>
        <w:ind w:firstLine="632" w:firstLineChars="300"/>
        <w:rPr>
          <w:rFonts w:hint="eastAsia" w:ascii="宋体" w:hAnsi="宋体" w:cs="Arial"/>
          <w:b/>
          <w:bCs/>
        </w:rPr>
      </w:pPr>
      <w:r>
        <w:rPr>
          <w:rFonts w:ascii="宋体" w:hAnsi="宋体" w:cs="Arial"/>
          <w:b/>
          <w:bCs/>
        </w:rPr>
        <w:t>加工精度</w:t>
      </w:r>
    </w:p>
    <w:p w14:paraId="40E039DA">
      <w:pPr>
        <w:numPr>
          <w:ilvl w:val="0"/>
          <w:numId w:val="12"/>
        </w:numPr>
        <w:adjustRightInd w:val="0"/>
        <w:snapToGrid w:val="0"/>
        <w:spacing w:line="360" w:lineRule="auto"/>
        <w:rPr>
          <w:rFonts w:hint="eastAsia" w:ascii="宋体" w:hAnsi="宋体" w:cs="Arial"/>
        </w:rPr>
      </w:pPr>
      <w:r>
        <w:rPr>
          <w:rFonts w:ascii="宋体" w:hAnsi="宋体" w:cs="Arial"/>
        </w:rPr>
        <w:t>同一轴上轮对直径差</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≤0.</w:t>
      </w:r>
      <w:r>
        <w:rPr>
          <w:rFonts w:hint="eastAsia" w:ascii="宋体" w:hAnsi="宋体" w:cs="Arial"/>
        </w:rPr>
        <w:t>1</w:t>
      </w:r>
      <w:r>
        <w:rPr>
          <w:rFonts w:ascii="宋体" w:hAnsi="宋体" w:cs="Arial"/>
        </w:rPr>
        <w:t>0mm</w:t>
      </w:r>
      <w:r>
        <w:rPr>
          <w:rFonts w:hint="eastAsia" w:ascii="宋体" w:hAnsi="宋体" w:cs="Arial"/>
        </w:rPr>
        <w:t>（优于招标条件）</w:t>
      </w:r>
    </w:p>
    <w:p w14:paraId="75182D4B">
      <w:pPr>
        <w:tabs>
          <w:tab w:val="left" w:pos="1414"/>
        </w:tabs>
        <w:adjustRightInd w:val="0"/>
        <w:snapToGrid w:val="0"/>
        <w:spacing w:line="360" w:lineRule="auto"/>
        <w:ind w:left="840" w:leftChars="400" w:firstLine="546" w:firstLineChars="260"/>
        <w:rPr>
          <w:rFonts w:hint="eastAsia" w:ascii="宋体" w:hAnsi="宋体" w:cs="Arial"/>
        </w:rPr>
      </w:pPr>
      <w:r>
        <w:rPr>
          <w:rFonts w:ascii="宋体" w:hAnsi="宋体" w:cs="Arial"/>
        </w:rPr>
        <w:t>两轴上轮对直径差</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≤0.30mm</w:t>
      </w:r>
    </w:p>
    <w:p w14:paraId="3B8E92ED">
      <w:pPr>
        <w:numPr>
          <w:ilvl w:val="0"/>
          <w:numId w:val="12"/>
        </w:numPr>
        <w:adjustRightInd w:val="0"/>
        <w:snapToGrid w:val="0"/>
        <w:spacing w:line="360" w:lineRule="auto"/>
        <w:rPr>
          <w:rFonts w:hint="eastAsia" w:ascii="宋体" w:hAnsi="宋体" w:cs="Arial"/>
        </w:rPr>
      </w:pPr>
      <w:r>
        <w:rPr>
          <w:rFonts w:ascii="宋体" w:hAnsi="宋体" w:cs="Arial"/>
        </w:rPr>
        <w:t>径向跳动</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≤0.10mm</w:t>
      </w:r>
    </w:p>
    <w:p w14:paraId="67A77187">
      <w:pPr>
        <w:numPr>
          <w:ilvl w:val="0"/>
          <w:numId w:val="12"/>
        </w:numPr>
        <w:adjustRightInd w:val="0"/>
        <w:snapToGrid w:val="0"/>
        <w:spacing w:line="360" w:lineRule="auto"/>
        <w:rPr>
          <w:rFonts w:hint="eastAsia" w:ascii="宋体" w:hAnsi="宋体" w:cs="Arial"/>
        </w:rPr>
      </w:pPr>
      <w:r>
        <w:rPr>
          <w:rFonts w:ascii="宋体" w:hAnsi="宋体" w:cs="Arial"/>
        </w:rPr>
        <w:t>端面跳动</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≤0.2</w:t>
      </w:r>
      <w:r>
        <w:rPr>
          <w:rFonts w:hint="eastAsia" w:ascii="宋体" w:hAnsi="宋体" w:cs="Arial"/>
        </w:rPr>
        <w:t>0</w:t>
      </w:r>
      <w:r>
        <w:rPr>
          <w:rFonts w:ascii="宋体" w:hAnsi="宋体" w:cs="Arial"/>
        </w:rPr>
        <w:t>mm</w:t>
      </w:r>
      <w:r>
        <w:rPr>
          <w:rFonts w:hint="eastAsia" w:ascii="宋体" w:hAnsi="宋体" w:cs="Arial"/>
        </w:rPr>
        <w:t>（优于招标条件）</w:t>
      </w:r>
    </w:p>
    <w:p w14:paraId="1DBB234F">
      <w:pPr>
        <w:numPr>
          <w:ilvl w:val="0"/>
          <w:numId w:val="12"/>
        </w:numPr>
        <w:adjustRightInd w:val="0"/>
        <w:snapToGrid w:val="0"/>
        <w:spacing w:line="360" w:lineRule="auto"/>
        <w:rPr>
          <w:rFonts w:hint="eastAsia" w:ascii="宋体" w:hAnsi="宋体" w:cs="Arial"/>
        </w:rPr>
      </w:pPr>
      <w:r>
        <w:rPr>
          <w:rFonts w:ascii="宋体" w:hAnsi="宋体" w:cs="Arial"/>
        </w:rPr>
        <w:t>轮廓度</w:t>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ab/>
      </w:r>
      <w:r>
        <w:rPr>
          <w:rFonts w:ascii="宋体" w:hAnsi="宋体" w:cs="Arial"/>
        </w:rPr>
        <w:t>≤0.2</w:t>
      </w:r>
      <w:r>
        <w:rPr>
          <w:rFonts w:hint="eastAsia" w:ascii="宋体" w:hAnsi="宋体" w:cs="Arial"/>
        </w:rPr>
        <w:t>0</w:t>
      </w:r>
      <w:r>
        <w:rPr>
          <w:rFonts w:ascii="宋体" w:hAnsi="宋体" w:cs="Arial"/>
        </w:rPr>
        <w:t>mm</w:t>
      </w:r>
      <w:r>
        <w:rPr>
          <w:rFonts w:hint="eastAsia" w:ascii="宋体" w:hAnsi="宋体" w:cs="Arial"/>
        </w:rPr>
        <w:t>（优于招标条件）</w:t>
      </w:r>
    </w:p>
    <w:p w14:paraId="2F464A51">
      <w:pPr>
        <w:tabs>
          <w:tab w:val="left" w:pos="1372"/>
        </w:tabs>
        <w:adjustRightInd w:val="0"/>
        <w:snapToGrid w:val="0"/>
        <w:spacing w:line="360" w:lineRule="auto"/>
        <w:ind w:firstLine="1365" w:firstLineChars="650"/>
        <w:rPr>
          <w:rFonts w:hint="eastAsia" w:ascii="宋体" w:hAnsi="宋体" w:cs="Arial"/>
        </w:rPr>
      </w:pPr>
      <w:r>
        <w:rPr>
          <w:rFonts w:ascii="宋体" w:hAnsi="宋体" w:cs="Arial"/>
        </w:rPr>
        <w:t>轮缘高度允差（踏面至轮缘顶）</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≤0.20mm</w:t>
      </w:r>
    </w:p>
    <w:p w14:paraId="369DDD3E">
      <w:pPr>
        <w:tabs>
          <w:tab w:val="left" w:pos="1372"/>
        </w:tabs>
        <w:adjustRightInd w:val="0"/>
        <w:snapToGrid w:val="0"/>
        <w:spacing w:line="360" w:lineRule="auto"/>
        <w:rPr>
          <w:rFonts w:hint="eastAsia" w:ascii="宋体" w:hAnsi="宋体" w:cs="Arial"/>
        </w:rPr>
      </w:pPr>
      <w:r>
        <w:rPr>
          <w:rFonts w:ascii="宋体" w:hAnsi="宋体" w:cs="Arial"/>
        </w:rPr>
        <w:tab/>
      </w:r>
      <w:r>
        <w:rPr>
          <w:rFonts w:ascii="宋体" w:hAnsi="宋体" w:cs="Arial"/>
        </w:rPr>
        <w:t>轮缘宽度允差</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≤0.20mm</w:t>
      </w:r>
    </w:p>
    <w:p w14:paraId="613D68DD">
      <w:pPr>
        <w:numPr>
          <w:ilvl w:val="0"/>
          <w:numId w:val="13"/>
        </w:numPr>
        <w:adjustRightInd w:val="0"/>
        <w:snapToGrid w:val="0"/>
        <w:spacing w:line="360" w:lineRule="auto"/>
        <w:rPr>
          <w:rFonts w:hint="eastAsia" w:ascii="宋体" w:hAnsi="宋体" w:cs="Arial"/>
        </w:rPr>
      </w:pPr>
      <w:r>
        <w:rPr>
          <w:rFonts w:ascii="宋体" w:hAnsi="宋体" w:cs="Arial"/>
        </w:rPr>
        <w:t>表面粗糙度</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Rz≤60μm</w:t>
      </w:r>
      <w:r>
        <w:rPr>
          <w:rFonts w:hint="eastAsia" w:ascii="宋体" w:hAnsi="宋体" w:cs="Arial"/>
        </w:rPr>
        <w:tab/>
      </w:r>
      <w:r>
        <w:rPr>
          <w:rFonts w:ascii="宋体" w:hAnsi="宋体" w:cs="Arial"/>
        </w:rPr>
        <w:t>Ra≤12.5μm</w:t>
      </w:r>
    </w:p>
    <w:p w14:paraId="0BECE238">
      <w:pPr>
        <w:numPr>
          <w:ilvl w:val="0"/>
          <w:numId w:val="13"/>
        </w:numPr>
        <w:adjustRightInd w:val="0"/>
        <w:snapToGrid w:val="0"/>
        <w:spacing w:line="360" w:lineRule="auto"/>
        <w:rPr>
          <w:rFonts w:hint="eastAsia" w:ascii="宋体" w:hAnsi="宋体" w:cs="Arial"/>
        </w:rPr>
      </w:pPr>
      <w:r>
        <w:rPr>
          <w:rFonts w:ascii="宋体" w:hAnsi="宋体" w:cs="Arial"/>
        </w:rPr>
        <w:t>轮对两次装夹测量误差</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≤0.2mm</w:t>
      </w:r>
    </w:p>
    <w:p w14:paraId="19AF4275">
      <w:pPr>
        <w:numPr>
          <w:ilvl w:val="0"/>
          <w:numId w:val="13"/>
        </w:numPr>
        <w:adjustRightInd w:val="0"/>
        <w:snapToGrid w:val="0"/>
        <w:spacing w:line="360" w:lineRule="auto"/>
        <w:rPr>
          <w:rFonts w:hint="eastAsia" w:ascii="宋体" w:hAnsi="宋体" w:cs="Arial"/>
        </w:rPr>
      </w:pPr>
      <w:r>
        <w:rPr>
          <w:rFonts w:ascii="宋体" w:hAnsi="宋体" w:cs="Arial"/>
        </w:rPr>
        <w:t>进刀量数</w:t>
      </w:r>
      <w:r>
        <w:rPr>
          <w:rFonts w:hint="eastAsia" w:ascii="宋体" w:hAnsi="宋体" w:cs="Arial"/>
        </w:rPr>
        <w:t>字</w:t>
      </w:r>
      <w:r>
        <w:rPr>
          <w:rFonts w:ascii="宋体" w:hAnsi="宋体" w:cs="Arial"/>
        </w:rPr>
        <w:t>显示精度</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0.01mm</w:t>
      </w:r>
    </w:p>
    <w:p w14:paraId="73953A3F">
      <w:pPr>
        <w:adjustRightInd w:val="0"/>
        <w:snapToGrid w:val="0"/>
        <w:spacing w:line="360" w:lineRule="auto"/>
        <w:ind w:left="630" w:leftChars="300"/>
        <w:rPr>
          <w:rFonts w:hint="eastAsia" w:ascii="宋体" w:hAnsi="宋体" w:cs="Arial"/>
          <w:bCs/>
        </w:rPr>
      </w:pPr>
      <w:r>
        <w:rPr>
          <w:rFonts w:hint="eastAsia" w:ascii="宋体" w:hAnsi="宋体" w:cs="Arial"/>
          <w:b/>
        </w:rPr>
        <w:t>电机参数</w:t>
      </w:r>
      <w:r>
        <w:rPr>
          <w:rFonts w:hint="eastAsia" w:ascii="宋体" w:hAnsi="宋体" w:cs="Arial"/>
          <w:b/>
        </w:rPr>
        <w:tab/>
      </w:r>
      <w:r>
        <w:rPr>
          <w:rFonts w:hint="eastAsia" w:ascii="宋体" w:hAnsi="宋体" w:cs="Arial"/>
          <w:b/>
        </w:rPr>
        <w:tab/>
      </w:r>
      <w:r>
        <w:rPr>
          <w:rFonts w:hint="eastAsia" w:ascii="宋体" w:hAnsi="宋体" w:cs="Arial"/>
          <w:bCs/>
        </w:rPr>
        <w:t>主驱动电机功率9KW，4台</w:t>
      </w:r>
    </w:p>
    <w:p w14:paraId="3EE8887C">
      <w:pPr>
        <w:adjustRightInd w:val="0"/>
        <w:snapToGrid w:val="0"/>
        <w:spacing w:before="156" w:beforeLines="50" w:line="360" w:lineRule="auto"/>
        <w:ind w:firstLine="632" w:firstLineChars="300"/>
        <w:rPr>
          <w:rFonts w:hint="eastAsia" w:ascii="宋体" w:hAnsi="宋体" w:cs="Arial"/>
          <w:b/>
          <w:bCs/>
        </w:rPr>
      </w:pPr>
      <w:r>
        <w:rPr>
          <w:rFonts w:ascii="宋体" w:hAnsi="宋体" w:cs="Arial"/>
          <w:b/>
          <w:bCs/>
        </w:rPr>
        <w:t>机床供电</w:t>
      </w:r>
    </w:p>
    <w:p w14:paraId="79C8D1CA">
      <w:pPr>
        <w:numPr>
          <w:ilvl w:val="0"/>
          <w:numId w:val="12"/>
        </w:numPr>
        <w:tabs>
          <w:tab w:val="left" w:pos="6024"/>
        </w:tabs>
        <w:adjustRightInd w:val="0"/>
        <w:snapToGrid w:val="0"/>
        <w:spacing w:line="360" w:lineRule="auto"/>
        <w:rPr>
          <w:rFonts w:hint="eastAsia" w:ascii="宋体" w:hAnsi="宋体" w:cs="Arial"/>
        </w:rPr>
      </w:pPr>
      <w:r>
        <w:rPr>
          <w:rFonts w:ascii="宋体" w:hAnsi="宋体" w:cs="Arial"/>
        </w:rPr>
        <w:t>工作电压</w:t>
      </w:r>
      <w:r>
        <w:rPr>
          <w:rFonts w:hint="eastAsia" w:ascii="宋体" w:hAnsi="宋体" w:cs="Arial"/>
        </w:rPr>
        <w:tab/>
      </w:r>
      <w:r>
        <w:rPr>
          <w:rFonts w:ascii="宋体" w:hAnsi="宋体" w:cs="Arial"/>
        </w:rPr>
        <w:t>380V±10%、50Hz±5%</w:t>
      </w:r>
    </w:p>
    <w:p w14:paraId="28251CEF">
      <w:pPr>
        <w:tabs>
          <w:tab w:val="left" w:pos="1515"/>
        </w:tabs>
        <w:adjustRightInd w:val="0"/>
        <w:snapToGrid w:val="0"/>
        <w:spacing w:line="360" w:lineRule="auto"/>
        <w:rPr>
          <w:rFonts w:hint="eastAsia" w:ascii="宋体" w:hAnsi="宋体" w:cs="Arial"/>
        </w:rPr>
      </w:pPr>
      <w:r>
        <w:rPr>
          <w:rFonts w:ascii="宋体" w:hAnsi="宋体" w:cs="Arial"/>
        </w:rPr>
        <w:tab/>
      </w:r>
      <w:r>
        <w:rPr>
          <w:rFonts w:ascii="宋体" w:hAnsi="宋体" w:cs="Arial"/>
        </w:rPr>
        <w:t>交流控制电压</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 xml:space="preserve"> </w:t>
      </w:r>
      <w:r>
        <w:rPr>
          <w:rFonts w:ascii="宋体" w:hAnsi="宋体" w:cs="Arial"/>
        </w:rPr>
        <w:t>220V,50Hz</w:t>
      </w:r>
    </w:p>
    <w:p w14:paraId="32D3BBB1">
      <w:pPr>
        <w:tabs>
          <w:tab w:val="left" w:pos="1515"/>
        </w:tabs>
        <w:adjustRightInd w:val="0"/>
        <w:snapToGrid w:val="0"/>
        <w:spacing w:line="360" w:lineRule="auto"/>
        <w:rPr>
          <w:rFonts w:hint="eastAsia" w:ascii="宋体" w:hAnsi="宋体" w:cs="Arial"/>
        </w:rPr>
      </w:pPr>
      <w:r>
        <w:rPr>
          <w:rFonts w:ascii="宋体" w:hAnsi="宋体" w:cs="Arial"/>
        </w:rPr>
        <w:tab/>
      </w:r>
      <w:r>
        <w:rPr>
          <w:rFonts w:ascii="宋体" w:hAnsi="宋体" w:cs="Arial"/>
        </w:rPr>
        <w:t>直流控制电压</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 xml:space="preserve"> </w:t>
      </w:r>
      <w:r>
        <w:rPr>
          <w:rFonts w:ascii="宋体" w:hAnsi="宋体" w:cs="Arial"/>
        </w:rPr>
        <w:t>24V</w:t>
      </w:r>
    </w:p>
    <w:p w14:paraId="7FD437FC">
      <w:pPr>
        <w:numPr>
          <w:ilvl w:val="0"/>
          <w:numId w:val="12"/>
        </w:numPr>
        <w:adjustRightInd w:val="0"/>
        <w:snapToGrid w:val="0"/>
        <w:spacing w:line="360" w:lineRule="auto"/>
        <w:ind w:left="1378"/>
        <w:rPr>
          <w:rFonts w:hint="eastAsia" w:ascii="宋体" w:hAnsi="宋体" w:cs="Arial"/>
        </w:rPr>
      </w:pPr>
      <w:r>
        <w:rPr>
          <w:rFonts w:ascii="宋体" w:hAnsi="宋体" w:cs="Arial"/>
        </w:rPr>
        <w:t>机床用电容量</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 xml:space="preserve"> 80k</w:t>
      </w:r>
      <w:r>
        <w:rPr>
          <w:rFonts w:ascii="宋体" w:hAnsi="宋体" w:cs="Arial"/>
        </w:rPr>
        <w:t>W</w:t>
      </w:r>
    </w:p>
    <w:p w14:paraId="0B74B1B7">
      <w:pPr>
        <w:numPr>
          <w:ilvl w:val="0"/>
          <w:numId w:val="12"/>
        </w:numPr>
        <w:adjustRightInd w:val="0"/>
        <w:snapToGrid w:val="0"/>
        <w:spacing w:line="360" w:lineRule="auto"/>
        <w:ind w:left="1378"/>
        <w:rPr>
          <w:rFonts w:hint="eastAsia" w:ascii="宋体" w:hAnsi="宋体" w:cs="Arial"/>
        </w:rPr>
      </w:pPr>
      <w:r>
        <w:rPr>
          <w:rFonts w:ascii="宋体" w:hAnsi="宋体" w:cs="Arial"/>
        </w:rPr>
        <w:t>电机绝缘等级</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 xml:space="preserve"> </w:t>
      </w:r>
      <w:r>
        <w:rPr>
          <w:rFonts w:ascii="宋体" w:hAnsi="宋体" w:cs="Arial"/>
        </w:rPr>
        <w:t>F级</w:t>
      </w:r>
    </w:p>
    <w:p w14:paraId="16D27401">
      <w:pPr>
        <w:adjustRightInd w:val="0"/>
        <w:snapToGrid w:val="0"/>
        <w:spacing w:line="360" w:lineRule="auto"/>
        <w:ind w:firstLine="632" w:firstLineChars="300"/>
        <w:rPr>
          <w:rFonts w:hint="eastAsia" w:ascii="宋体" w:hAnsi="宋体" w:cs="Arial"/>
          <w:b/>
          <w:bCs/>
        </w:rPr>
      </w:pPr>
      <w:r>
        <w:rPr>
          <w:rFonts w:ascii="宋体" w:hAnsi="宋体" w:cs="Arial"/>
          <w:b/>
          <w:bCs/>
        </w:rPr>
        <w:t>其它</w:t>
      </w:r>
    </w:p>
    <w:p w14:paraId="22B8F885">
      <w:pPr>
        <w:adjustRightInd w:val="0"/>
        <w:snapToGrid w:val="0"/>
        <w:spacing w:line="360" w:lineRule="auto"/>
        <w:ind w:firstLine="898" w:firstLineChars="428"/>
        <w:rPr>
          <w:rFonts w:hint="eastAsia" w:ascii="宋体" w:hAnsi="宋体" w:cs="Arial"/>
        </w:rPr>
      </w:pPr>
      <w:r>
        <w:rPr>
          <w:rFonts w:ascii="宋体" w:hAnsi="宋体" w:cs="Arial"/>
        </w:rPr>
        <w:t>机床外形尺寸（长×宽×高）</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5700x6000x2300mm</w:t>
      </w:r>
    </w:p>
    <w:p w14:paraId="2D22DBF6">
      <w:pPr>
        <w:adjustRightInd w:val="0"/>
        <w:snapToGrid w:val="0"/>
        <w:spacing w:line="360" w:lineRule="auto"/>
        <w:ind w:firstLine="898" w:firstLineChars="428"/>
        <w:rPr>
          <w:rFonts w:hint="eastAsia" w:ascii="宋体" w:hAnsi="宋体" w:cs="Arial"/>
        </w:rPr>
      </w:pPr>
      <w:r>
        <w:rPr>
          <w:rFonts w:ascii="宋体" w:hAnsi="宋体" w:cs="Arial"/>
        </w:rPr>
        <w:t>机床重量</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16</w:t>
      </w:r>
      <w:r>
        <w:rPr>
          <w:rFonts w:ascii="宋体" w:hAnsi="宋体" w:cs="Arial"/>
        </w:rPr>
        <w:t>t</w:t>
      </w:r>
    </w:p>
    <w:p w14:paraId="2D5D3772">
      <w:pPr>
        <w:numPr>
          <w:ilvl w:val="0"/>
          <w:numId w:val="14"/>
        </w:numPr>
        <w:tabs>
          <w:tab w:val="left" w:pos="1260"/>
          <w:tab w:val="clear" w:pos="900"/>
        </w:tabs>
        <w:adjustRightInd w:val="0"/>
        <w:snapToGrid w:val="0"/>
        <w:spacing w:line="360" w:lineRule="auto"/>
        <w:ind w:left="1260" w:leftChars="429" w:hanging="359" w:hangingChars="171"/>
        <w:rPr>
          <w:rFonts w:hint="eastAsia" w:ascii="宋体" w:hAnsi="宋体" w:cs="Arial"/>
        </w:rPr>
      </w:pPr>
      <w:r>
        <w:rPr>
          <w:rFonts w:ascii="宋体" w:hAnsi="宋体" w:cs="Arial"/>
        </w:rPr>
        <w:t>设备最大噪声</w:t>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hint="eastAsia" w:ascii="宋体" w:hAnsi="宋体" w:cs="Arial"/>
        </w:rPr>
        <w:tab/>
      </w:r>
      <w:r>
        <w:rPr>
          <w:rFonts w:ascii="宋体" w:hAnsi="宋体" w:cs="Arial"/>
        </w:rPr>
        <w:t>＜80dBA.。</w:t>
      </w:r>
    </w:p>
    <w:p w14:paraId="6C24EA67">
      <w:pPr>
        <w:numPr>
          <w:ilvl w:val="0"/>
          <w:numId w:val="14"/>
        </w:numPr>
        <w:tabs>
          <w:tab w:val="left" w:pos="1260"/>
          <w:tab w:val="clear" w:pos="900"/>
        </w:tabs>
        <w:adjustRightInd w:val="0"/>
        <w:snapToGrid w:val="0"/>
        <w:spacing w:line="360" w:lineRule="auto"/>
        <w:ind w:left="1260" w:leftChars="429" w:hanging="359" w:hangingChars="171"/>
        <w:rPr>
          <w:rFonts w:hint="eastAsia" w:ascii="宋体" w:hAnsi="宋体" w:cs="Arial"/>
        </w:rPr>
      </w:pPr>
      <w:r>
        <w:rPr>
          <w:rFonts w:hint="eastAsia" w:ascii="宋体" w:hAnsi="宋体" w:cs="Arial"/>
        </w:rPr>
        <w:t>机床生产率：</w:t>
      </w:r>
      <w:r>
        <w:rPr>
          <w:rFonts w:hint="eastAsia" w:ascii="宋体" w:hAnsi="宋体"/>
        </w:rPr>
        <w:t>全轮廓切削，二次走刀</w:t>
      </w:r>
      <w:r>
        <w:rPr>
          <w:rFonts w:hint="eastAsia" w:ascii="宋体" w:hAnsi="宋体" w:cs="Arial"/>
        </w:rPr>
        <w:t>，12对轮／班（</w:t>
      </w:r>
      <w:r>
        <w:rPr>
          <w:rFonts w:hint="eastAsia" w:ascii="宋体" w:hAnsi="宋体"/>
        </w:rPr>
        <w:t>8小时工作制，利用率85%</w:t>
      </w:r>
      <w:r>
        <w:rPr>
          <w:rFonts w:ascii="宋体" w:hAnsi="宋体"/>
        </w:rPr>
        <w:t>)</w:t>
      </w:r>
    </w:p>
    <w:p w14:paraId="5F415106">
      <w:pPr>
        <w:pStyle w:val="4"/>
        <w:spacing w:line="360" w:lineRule="auto"/>
        <w:rPr>
          <w:rFonts w:hint="eastAsia" w:ascii="宋体" w:hAnsi="宋体" w:cs="Arial"/>
          <w:b/>
          <w:szCs w:val="21"/>
        </w:rPr>
      </w:pPr>
      <w:bookmarkStart w:id="32" w:name="_Toc32602"/>
      <w:r>
        <w:rPr>
          <w:rFonts w:hint="eastAsia" w:ascii="宋体" w:hAnsi="宋体" w:cs="Arial"/>
          <w:b/>
          <w:szCs w:val="21"/>
        </w:rPr>
        <w:t>5.4</w:t>
      </w:r>
      <w:r>
        <w:rPr>
          <w:rFonts w:ascii="宋体" w:hAnsi="宋体" w:cs="Arial"/>
          <w:b/>
          <w:szCs w:val="21"/>
        </w:rPr>
        <w:t>结构</w:t>
      </w:r>
      <w:r>
        <w:rPr>
          <w:rFonts w:hint="eastAsia" w:ascii="宋体" w:hAnsi="宋体" w:cs="Arial"/>
          <w:b/>
          <w:szCs w:val="21"/>
        </w:rPr>
        <w:t>性能</w:t>
      </w:r>
      <w:bookmarkEnd w:id="32"/>
    </w:p>
    <w:p w14:paraId="67CE4AB0">
      <w:pPr>
        <w:adjustRightInd w:val="0"/>
        <w:snapToGrid w:val="0"/>
        <w:spacing w:line="360" w:lineRule="auto"/>
        <w:ind w:left="840" w:leftChars="400"/>
        <w:rPr>
          <w:rFonts w:hint="eastAsia" w:ascii="宋体" w:hAnsi="宋体" w:cs="Arial"/>
          <w:bCs/>
        </w:rPr>
      </w:pPr>
      <w:r>
        <w:rPr>
          <w:rFonts w:hint="eastAsia" w:ascii="宋体" w:hAnsi="宋体" w:cs="Arial"/>
          <w:bCs/>
        </w:rPr>
        <w:t>数控不落轮镟床为整体式模块化设计，设备由机座、机架、横梁、数控刀架、测量系统、摩擦驱动装置、外轴箱支撑、压紧装置、轴向定位装置、防滑系统、数控系统、液压</w:t>
      </w:r>
      <w:r>
        <w:rPr>
          <w:rFonts w:hint="eastAsia" w:ascii="宋体" w:hAnsi="宋体"/>
          <w:bCs/>
        </w:rPr>
        <w:t>系统、气动系统、润滑系统、切屑处理系统和活动轨道等组成。</w:t>
      </w:r>
    </w:p>
    <w:p w14:paraId="70143746">
      <w:pPr>
        <w:pStyle w:val="5"/>
        <w:adjustRightInd w:val="0"/>
        <w:snapToGrid w:val="0"/>
        <w:ind w:left="148" w:hanging="148" w:hangingChars="70"/>
        <w:rPr>
          <w:rFonts w:hint="eastAsia"/>
          <w:b/>
          <w:sz w:val="21"/>
          <w:szCs w:val="21"/>
        </w:rPr>
      </w:pPr>
      <w:r>
        <w:rPr>
          <w:rFonts w:hint="eastAsia" w:cs="Arial"/>
          <w:b/>
          <w:sz w:val="21"/>
          <w:szCs w:val="21"/>
        </w:rPr>
        <w:t>5</w:t>
      </w:r>
      <w:r>
        <w:rPr>
          <w:rFonts w:cs="Arial"/>
          <w:b/>
          <w:sz w:val="21"/>
          <w:szCs w:val="21"/>
        </w:rPr>
        <w:t>.</w:t>
      </w:r>
      <w:r>
        <w:rPr>
          <w:rFonts w:hint="eastAsia" w:cs="Arial"/>
          <w:b/>
          <w:sz w:val="21"/>
          <w:szCs w:val="21"/>
        </w:rPr>
        <w:t>4.</w:t>
      </w:r>
      <w:r>
        <w:rPr>
          <w:rFonts w:cs="Arial"/>
          <w:b/>
          <w:sz w:val="21"/>
          <w:szCs w:val="21"/>
        </w:rPr>
        <w:t>1</w:t>
      </w:r>
      <w:r>
        <w:rPr>
          <w:rFonts w:hint="eastAsia" w:cs="Arial"/>
          <w:b/>
          <w:sz w:val="21"/>
          <w:szCs w:val="21"/>
        </w:rPr>
        <w:tab/>
      </w:r>
      <w:r>
        <w:rPr>
          <w:rFonts w:cs="Arial"/>
          <w:b/>
          <w:sz w:val="21"/>
          <w:szCs w:val="21"/>
        </w:rPr>
        <w:t>机体结构</w:t>
      </w:r>
    </w:p>
    <w:p w14:paraId="52996380">
      <w:pPr>
        <w:pStyle w:val="5"/>
        <w:adjustRightInd w:val="0"/>
        <w:snapToGrid w:val="0"/>
        <w:ind w:left="899" w:leftChars="428" w:firstLine="1"/>
        <w:rPr>
          <w:rFonts w:hint="eastAsia" w:cs="Arial"/>
          <w:sz w:val="21"/>
          <w:szCs w:val="21"/>
        </w:rPr>
      </w:pPr>
      <w:r>
        <w:rPr>
          <w:rFonts w:hint="eastAsia"/>
          <w:sz w:val="21"/>
          <w:szCs w:val="21"/>
        </w:rPr>
        <w:t>※</w:t>
      </w:r>
      <w:r>
        <w:rPr>
          <w:rFonts w:cs="Arial"/>
          <w:sz w:val="21"/>
          <w:szCs w:val="21"/>
        </w:rPr>
        <w:t>设备机体由机座、机架、横梁/导轨等机件组成并牢固的联成机体</w:t>
      </w:r>
      <w:r>
        <w:rPr>
          <w:rFonts w:hint="eastAsia" w:cs="Arial"/>
          <w:sz w:val="21"/>
          <w:szCs w:val="21"/>
        </w:rPr>
        <w:t>。</w:t>
      </w:r>
    </w:p>
    <w:p w14:paraId="618B1511">
      <w:pPr>
        <w:pStyle w:val="5"/>
        <w:adjustRightInd w:val="0"/>
        <w:snapToGrid w:val="0"/>
        <w:ind w:left="899" w:leftChars="428" w:firstLine="1"/>
        <w:rPr>
          <w:rFonts w:hint="eastAsia" w:cs="Arial"/>
          <w:sz w:val="21"/>
          <w:szCs w:val="21"/>
        </w:rPr>
      </w:pPr>
      <w:r>
        <w:rPr>
          <w:rFonts w:cs="Arial"/>
          <w:sz w:val="21"/>
          <w:szCs w:val="21"/>
        </w:rPr>
        <w:t>机体有足够的强度和刚度（包括整体刚度、动刚度），尺寸稳定性高，吸震性能好</w:t>
      </w:r>
      <w:r>
        <w:rPr>
          <w:rFonts w:hint="eastAsia" w:cs="Arial"/>
          <w:sz w:val="21"/>
          <w:szCs w:val="21"/>
        </w:rPr>
        <w:t>。</w:t>
      </w:r>
    </w:p>
    <w:p w14:paraId="2FB418C6">
      <w:pPr>
        <w:pStyle w:val="5"/>
        <w:adjustRightInd w:val="0"/>
        <w:snapToGrid w:val="0"/>
        <w:ind w:left="899" w:leftChars="428" w:firstLine="1"/>
        <w:rPr>
          <w:rFonts w:hint="eastAsia" w:cs="Arial"/>
          <w:sz w:val="21"/>
          <w:szCs w:val="21"/>
        </w:rPr>
      </w:pPr>
      <w:r>
        <w:rPr>
          <w:rFonts w:hint="eastAsia" w:cs="Arial"/>
          <w:sz w:val="21"/>
          <w:szCs w:val="21"/>
          <w:lang w:eastAsia="zh-CN"/>
        </w:rPr>
        <w:t>供应商</w:t>
      </w:r>
      <w:r>
        <w:rPr>
          <w:rFonts w:cs="Arial"/>
          <w:sz w:val="21"/>
          <w:szCs w:val="21"/>
        </w:rPr>
        <w:t>在投标文件中，需说明主要部件的材质特点、热处理指标。</w:t>
      </w:r>
    </w:p>
    <w:p w14:paraId="2B27377A">
      <w:pPr>
        <w:spacing w:line="360" w:lineRule="auto"/>
        <w:rPr>
          <w:rFonts w:hint="eastAsia" w:ascii="宋体" w:hAnsi="宋体" w:cs="Arial"/>
          <w:b/>
        </w:rPr>
      </w:pPr>
      <w:r>
        <w:rPr>
          <w:rFonts w:hint="eastAsia" w:ascii="宋体" w:hAnsi="宋体" w:cs="Arial"/>
          <w:b/>
        </w:rPr>
        <w:t>5.4.2</w:t>
      </w:r>
      <w:r>
        <w:rPr>
          <w:rFonts w:hint="eastAsia" w:ascii="宋体" w:hAnsi="宋体" w:cs="Arial"/>
          <w:b/>
        </w:rPr>
        <w:tab/>
      </w:r>
      <w:r>
        <w:rPr>
          <w:rFonts w:ascii="宋体" w:hAnsi="宋体" w:cs="Arial"/>
          <w:b/>
        </w:rPr>
        <w:t>轨道结构</w:t>
      </w:r>
    </w:p>
    <w:p w14:paraId="1A880B1B">
      <w:pPr>
        <w:pStyle w:val="5"/>
        <w:adjustRightInd w:val="0"/>
        <w:snapToGrid w:val="0"/>
        <w:ind w:left="899" w:leftChars="428" w:firstLine="1"/>
        <w:rPr>
          <w:rFonts w:hint="eastAsia" w:cs="Arial"/>
          <w:sz w:val="21"/>
          <w:szCs w:val="21"/>
        </w:rPr>
      </w:pPr>
      <w:r>
        <w:rPr>
          <w:rFonts w:hint="eastAsia" w:cs="Arial"/>
          <w:sz w:val="21"/>
          <w:szCs w:val="21"/>
        </w:rPr>
        <w:t>1).设备轨道结构要牢靠，与</w:t>
      </w:r>
      <w:r>
        <w:rPr>
          <w:rFonts w:cs="Arial"/>
          <w:sz w:val="21"/>
          <w:szCs w:val="21"/>
        </w:rPr>
        <w:t>车间地面50kg/m轨道要合理对接</w:t>
      </w:r>
      <w:r>
        <w:rPr>
          <w:rFonts w:hint="eastAsia" w:cs="Arial"/>
          <w:sz w:val="21"/>
          <w:szCs w:val="21"/>
        </w:rPr>
        <w:t>。</w:t>
      </w:r>
    </w:p>
    <w:p w14:paraId="701EBEBB">
      <w:pPr>
        <w:pStyle w:val="5"/>
        <w:adjustRightInd w:val="0"/>
        <w:snapToGrid w:val="0"/>
        <w:ind w:left="899" w:leftChars="428" w:firstLine="1"/>
        <w:rPr>
          <w:rFonts w:hint="eastAsia" w:cs="Arial"/>
          <w:sz w:val="21"/>
          <w:szCs w:val="21"/>
        </w:rPr>
      </w:pPr>
      <w:r>
        <w:rPr>
          <w:rFonts w:hint="eastAsia" w:cs="Arial"/>
          <w:sz w:val="21"/>
          <w:szCs w:val="21"/>
        </w:rPr>
        <w:t>2).</w:t>
      </w:r>
      <w:r>
        <w:rPr>
          <w:rFonts w:cs="Arial"/>
          <w:sz w:val="21"/>
          <w:szCs w:val="21"/>
        </w:rPr>
        <w:t>滑动轨对设备轨道予以封闭或打开。滑动轨的移动由液压缸驱动</w:t>
      </w:r>
      <w:r>
        <w:rPr>
          <w:rFonts w:hint="eastAsia" w:cs="Arial"/>
          <w:sz w:val="21"/>
          <w:szCs w:val="21"/>
        </w:rPr>
        <w:t>或电机驱动</w:t>
      </w:r>
      <w:r>
        <w:rPr>
          <w:rFonts w:cs="Arial"/>
          <w:sz w:val="21"/>
          <w:szCs w:val="21"/>
        </w:rPr>
        <w:t>。</w:t>
      </w:r>
    </w:p>
    <w:p w14:paraId="6688076A">
      <w:pPr>
        <w:pStyle w:val="5"/>
        <w:adjustRightInd w:val="0"/>
        <w:snapToGrid w:val="0"/>
        <w:ind w:left="899" w:leftChars="428" w:firstLine="1"/>
        <w:rPr>
          <w:rFonts w:hint="eastAsia" w:cs="Arial"/>
          <w:sz w:val="21"/>
          <w:szCs w:val="21"/>
        </w:rPr>
      </w:pPr>
      <w:r>
        <w:rPr>
          <w:rFonts w:hint="eastAsia" w:cs="Arial"/>
          <w:sz w:val="21"/>
          <w:szCs w:val="21"/>
        </w:rPr>
        <w:t>3).</w:t>
      </w:r>
      <w:r>
        <w:rPr>
          <w:rFonts w:cs="Arial"/>
          <w:sz w:val="21"/>
          <w:szCs w:val="21"/>
        </w:rPr>
        <w:t>滑动轨要有足够的承载能力。滑动轨的移动动作需灵活、可靠、安全，并设置有（但不限于）：</w:t>
      </w:r>
    </w:p>
    <w:p w14:paraId="0B91548A">
      <w:pPr>
        <w:pStyle w:val="3"/>
        <w:widowControl/>
        <w:numPr>
          <w:ilvl w:val="0"/>
          <w:numId w:val="12"/>
        </w:numPr>
        <w:spacing w:line="360" w:lineRule="auto"/>
        <w:jc w:val="left"/>
        <w:rPr>
          <w:rFonts w:hint="eastAsia" w:ascii="宋体" w:hAnsi="宋体" w:cs="Arial"/>
          <w:szCs w:val="21"/>
        </w:rPr>
      </w:pPr>
      <w:r>
        <w:rPr>
          <w:rFonts w:ascii="宋体" w:hAnsi="宋体" w:cs="Arial"/>
          <w:szCs w:val="21"/>
        </w:rPr>
        <w:t>移动导向装置</w:t>
      </w:r>
    </w:p>
    <w:p w14:paraId="6164DC3E">
      <w:pPr>
        <w:pStyle w:val="3"/>
        <w:widowControl/>
        <w:numPr>
          <w:ilvl w:val="0"/>
          <w:numId w:val="12"/>
        </w:numPr>
        <w:spacing w:line="360" w:lineRule="auto"/>
        <w:jc w:val="left"/>
        <w:rPr>
          <w:rFonts w:hint="eastAsia" w:ascii="宋体" w:hAnsi="宋体" w:cs="Arial"/>
          <w:szCs w:val="21"/>
        </w:rPr>
      </w:pPr>
      <w:r>
        <w:rPr>
          <w:rFonts w:ascii="宋体" w:hAnsi="宋体" w:cs="Arial"/>
          <w:szCs w:val="21"/>
        </w:rPr>
        <w:t>移动轨在行程两端位置设有行程开关</w:t>
      </w:r>
    </w:p>
    <w:p w14:paraId="75621382">
      <w:pPr>
        <w:pStyle w:val="3"/>
        <w:widowControl/>
        <w:numPr>
          <w:ilvl w:val="0"/>
          <w:numId w:val="12"/>
        </w:numPr>
        <w:spacing w:line="360" w:lineRule="auto"/>
        <w:jc w:val="left"/>
        <w:rPr>
          <w:rFonts w:hint="eastAsia" w:ascii="宋体" w:hAnsi="宋体" w:cs="Arial"/>
          <w:szCs w:val="21"/>
        </w:rPr>
      </w:pPr>
      <w:r>
        <w:rPr>
          <w:rFonts w:ascii="宋体" w:hAnsi="宋体" w:cs="Arial"/>
          <w:szCs w:val="21"/>
        </w:rPr>
        <w:t>锁定机构</w:t>
      </w:r>
    </w:p>
    <w:p w14:paraId="4E934C06">
      <w:pPr>
        <w:pStyle w:val="3"/>
        <w:widowControl/>
        <w:numPr>
          <w:ilvl w:val="0"/>
          <w:numId w:val="12"/>
        </w:numPr>
        <w:spacing w:line="360" w:lineRule="auto"/>
        <w:jc w:val="left"/>
        <w:rPr>
          <w:rFonts w:hint="eastAsia" w:ascii="宋体" w:hAnsi="宋体" w:cs="Arial"/>
          <w:szCs w:val="21"/>
        </w:rPr>
      </w:pPr>
      <w:r>
        <w:rPr>
          <w:rFonts w:ascii="宋体" w:hAnsi="宋体" w:cs="Arial"/>
          <w:szCs w:val="21"/>
        </w:rPr>
        <w:t>车轮运行监控装置。当滑动轨将轨道封闭时，车轮运行监控功能自动启动，一旦轮对粗定位到达机床中心时，有信息提示，方便轮对的轨向初始定位</w:t>
      </w:r>
    </w:p>
    <w:p w14:paraId="03D86E4E">
      <w:pPr>
        <w:pStyle w:val="3"/>
        <w:widowControl/>
        <w:numPr>
          <w:ilvl w:val="0"/>
          <w:numId w:val="12"/>
        </w:numPr>
        <w:spacing w:line="360" w:lineRule="auto"/>
        <w:jc w:val="left"/>
        <w:rPr>
          <w:rFonts w:hint="eastAsia" w:ascii="宋体" w:hAnsi="宋体" w:cs="Arial"/>
          <w:szCs w:val="21"/>
        </w:rPr>
      </w:pPr>
      <w:r>
        <w:rPr>
          <w:rFonts w:ascii="宋体" w:hAnsi="宋体" w:cs="Arial"/>
          <w:szCs w:val="21"/>
        </w:rPr>
        <w:t>轨道是否封闭的信息显示</w:t>
      </w:r>
    </w:p>
    <w:p w14:paraId="210C5DEF">
      <w:pPr>
        <w:pStyle w:val="3"/>
        <w:widowControl/>
        <w:numPr>
          <w:ilvl w:val="0"/>
          <w:numId w:val="12"/>
        </w:numPr>
        <w:spacing w:line="360" w:lineRule="auto"/>
        <w:jc w:val="left"/>
        <w:rPr>
          <w:rFonts w:hint="eastAsia" w:ascii="宋体" w:hAnsi="宋体" w:cs="Arial"/>
          <w:szCs w:val="21"/>
        </w:rPr>
      </w:pPr>
      <w:r>
        <w:rPr>
          <w:rFonts w:ascii="宋体" w:hAnsi="宋体" w:cs="Arial"/>
          <w:szCs w:val="21"/>
        </w:rPr>
        <w:t>轨道上安装有载荷测量装置。有车辆荷载是否卸载的信息显示。在过载时，禁止滑动轨的移动，从而保证镟床不受过载的影响</w:t>
      </w:r>
    </w:p>
    <w:p w14:paraId="727C6B1E">
      <w:pPr>
        <w:pStyle w:val="3"/>
        <w:widowControl/>
        <w:numPr>
          <w:ilvl w:val="0"/>
          <w:numId w:val="12"/>
        </w:numPr>
        <w:spacing w:line="360" w:lineRule="auto"/>
        <w:jc w:val="left"/>
        <w:rPr>
          <w:rFonts w:hint="eastAsia" w:ascii="宋体" w:hAnsi="宋体" w:cs="Arial"/>
          <w:szCs w:val="21"/>
        </w:rPr>
      </w:pPr>
      <w:r>
        <w:rPr>
          <w:rFonts w:ascii="宋体" w:hAnsi="宋体"/>
          <w:szCs w:val="21"/>
          <w:lang w:val="en-GB"/>
        </w:rPr>
        <w:t>出现故障和接地短路泄漏时，活动伸缩轨道与牵引电流绝缘</w:t>
      </w:r>
    </w:p>
    <w:p w14:paraId="2A26612D">
      <w:pPr>
        <w:spacing w:line="360" w:lineRule="auto"/>
        <w:rPr>
          <w:rFonts w:hint="eastAsia" w:ascii="宋体" w:hAnsi="宋体" w:cs="Arial"/>
          <w:b/>
        </w:rPr>
      </w:pPr>
      <w:r>
        <w:rPr>
          <w:rFonts w:ascii="宋体" w:hAnsi="宋体"/>
          <w:b/>
        </w:rPr>
        <w:t>5.</w:t>
      </w:r>
      <w:r>
        <w:rPr>
          <w:rFonts w:hint="eastAsia" w:ascii="宋体" w:hAnsi="宋体"/>
          <w:b/>
        </w:rPr>
        <w:t>4.</w:t>
      </w:r>
      <w:r>
        <w:rPr>
          <w:rFonts w:ascii="宋体" w:hAnsi="宋体"/>
          <w:b/>
        </w:rPr>
        <w:t>3</w:t>
      </w:r>
      <w:r>
        <w:rPr>
          <w:rFonts w:hint="eastAsia" w:ascii="宋体" w:hAnsi="宋体"/>
          <w:b/>
        </w:rPr>
        <w:tab/>
      </w:r>
      <w:r>
        <w:rPr>
          <w:rFonts w:ascii="宋体" w:hAnsi="宋体"/>
          <w:b/>
        </w:rPr>
        <w:t>轮对定位</w:t>
      </w:r>
      <w:r>
        <w:rPr>
          <w:rFonts w:hint="eastAsia" w:ascii="宋体" w:hAnsi="宋体"/>
          <w:b/>
        </w:rPr>
        <w:t>、</w:t>
      </w:r>
      <w:r>
        <w:rPr>
          <w:rFonts w:ascii="宋体" w:hAnsi="宋体"/>
          <w:b/>
        </w:rPr>
        <w:t>驱动装置</w:t>
      </w:r>
    </w:p>
    <w:p w14:paraId="1D6AB7D1">
      <w:pPr>
        <w:pStyle w:val="3"/>
        <w:widowControl/>
        <w:numPr>
          <w:ilvl w:val="0"/>
          <w:numId w:val="15"/>
        </w:numPr>
        <w:tabs>
          <w:tab w:val="left" w:pos="900"/>
          <w:tab w:val="clear" w:pos="962"/>
        </w:tabs>
        <w:spacing w:line="360" w:lineRule="auto"/>
        <w:ind w:left="900" w:hanging="418"/>
        <w:jc w:val="left"/>
        <w:rPr>
          <w:rFonts w:hint="eastAsia" w:ascii="宋体" w:hAnsi="宋体" w:cs="Arial"/>
          <w:szCs w:val="21"/>
        </w:rPr>
      </w:pPr>
      <w:r>
        <w:rPr>
          <w:rFonts w:ascii="宋体" w:hAnsi="宋体" w:cs="Arial"/>
          <w:szCs w:val="21"/>
        </w:rPr>
        <w:t>车轮抬升和径向定位功能。</w:t>
      </w:r>
    </w:p>
    <w:p w14:paraId="221A96CF">
      <w:pPr>
        <w:pStyle w:val="5"/>
        <w:adjustRightInd w:val="0"/>
        <w:snapToGrid w:val="0"/>
        <w:ind w:left="899" w:leftChars="428" w:firstLine="1"/>
        <w:rPr>
          <w:rFonts w:hint="eastAsia" w:cs="Arial"/>
          <w:sz w:val="21"/>
          <w:szCs w:val="21"/>
        </w:rPr>
      </w:pPr>
      <w:r>
        <w:rPr>
          <w:rFonts w:cs="Arial"/>
          <w:sz w:val="21"/>
          <w:szCs w:val="21"/>
        </w:rPr>
        <w:t>当待镟削轮对在滑动轨上水平初定位后，两侧双滚轮由液压驱动同步上行抬升轮对，并对待镟削轮对实施径向定位。轮对最后的抬升位置应根据车轮直径大小调整后确定。</w:t>
      </w:r>
    </w:p>
    <w:p w14:paraId="71183A6B">
      <w:pPr>
        <w:pStyle w:val="3"/>
        <w:widowControl/>
        <w:numPr>
          <w:ilvl w:val="0"/>
          <w:numId w:val="15"/>
        </w:numPr>
        <w:tabs>
          <w:tab w:val="left" w:pos="900"/>
          <w:tab w:val="clear" w:pos="962"/>
        </w:tabs>
        <w:spacing w:line="360" w:lineRule="auto"/>
        <w:ind w:left="900" w:hanging="418"/>
        <w:jc w:val="left"/>
        <w:rPr>
          <w:rFonts w:hint="eastAsia" w:ascii="宋体" w:hAnsi="宋体" w:cs="Arial"/>
          <w:szCs w:val="21"/>
        </w:rPr>
      </w:pPr>
      <w:r>
        <w:rPr>
          <w:rFonts w:ascii="宋体" w:hAnsi="宋体" w:cs="Arial"/>
          <w:szCs w:val="21"/>
        </w:rPr>
        <w:t>切削运动驱动、传动功能。双滚轮既是定位元件，又是借助于摩擦力驱动车轮旋转形成切削运动的驱动滚轮。可实施无级变速，在正常切削工况下，驱动滚轮与车轮间保持纯滚动，以获得最大的传动转矩。</w:t>
      </w:r>
    </w:p>
    <w:p w14:paraId="4986160E">
      <w:pPr>
        <w:pStyle w:val="3"/>
        <w:widowControl/>
        <w:numPr>
          <w:ilvl w:val="0"/>
          <w:numId w:val="15"/>
        </w:numPr>
        <w:tabs>
          <w:tab w:val="left" w:pos="900"/>
          <w:tab w:val="clear" w:pos="962"/>
        </w:tabs>
        <w:spacing w:line="360" w:lineRule="auto"/>
        <w:ind w:left="900" w:hanging="418"/>
        <w:jc w:val="left"/>
        <w:rPr>
          <w:rFonts w:hint="eastAsia" w:ascii="宋体" w:hAnsi="宋体" w:cs="Arial"/>
          <w:szCs w:val="21"/>
        </w:rPr>
      </w:pPr>
      <w:r>
        <w:rPr>
          <w:rFonts w:ascii="宋体" w:hAnsi="宋体" w:cs="Arial"/>
          <w:szCs w:val="21"/>
        </w:rPr>
        <w:t>每侧双滚轮支撑系统各自具有独立浮动功能。</w:t>
      </w:r>
    </w:p>
    <w:p w14:paraId="3808E23D">
      <w:pPr>
        <w:pStyle w:val="3"/>
        <w:spacing w:line="360" w:lineRule="auto"/>
        <w:ind w:left="852" w:firstLine="0"/>
        <w:rPr>
          <w:rFonts w:hint="eastAsia" w:ascii="宋体" w:hAnsi="宋体" w:cs="Arial"/>
          <w:szCs w:val="21"/>
        </w:rPr>
      </w:pPr>
      <w:r>
        <w:rPr>
          <w:rFonts w:ascii="宋体" w:hAnsi="宋体" w:cs="Arial"/>
          <w:szCs w:val="21"/>
        </w:rPr>
        <w:t>轮对踏面在镟削中，其定位轴线位置已由外轴箱支撑</w:t>
      </w:r>
      <w:r>
        <w:rPr>
          <w:rFonts w:hint="eastAsia" w:ascii="宋体" w:hAnsi="宋体" w:cs="Arial"/>
          <w:szCs w:val="21"/>
        </w:rPr>
        <w:t>和</w:t>
      </w:r>
      <w:r>
        <w:rPr>
          <w:rFonts w:ascii="宋体" w:hAnsi="宋体" w:cs="Arial"/>
          <w:szCs w:val="21"/>
        </w:rPr>
        <w:t>轴箱压下装置加以保持和锁定。由于被镟削轮对踏面是有缺陷的被加工面。为了使驱动滚轮和车轮踏面间形成无相对滑动的滚动，必须保证驱动滚轮和车轮踏面间始终良好接触，但又不能影响轮对轴线的原始定位位置，为此每侧的两个滚轮必须可上下浮动。</w:t>
      </w:r>
    </w:p>
    <w:p w14:paraId="47DC1F1E">
      <w:pPr>
        <w:pStyle w:val="3"/>
        <w:widowControl/>
        <w:numPr>
          <w:ilvl w:val="0"/>
          <w:numId w:val="15"/>
        </w:numPr>
        <w:tabs>
          <w:tab w:val="left" w:pos="900"/>
          <w:tab w:val="clear" w:pos="962"/>
        </w:tabs>
        <w:spacing w:line="360" w:lineRule="auto"/>
        <w:ind w:left="900" w:hanging="418"/>
        <w:jc w:val="left"/>
        <w:rPr>
          <w:rFonts w:hint="eastAsia" w:ascii="宋体" w:hAnsi="宋体" w:cs="Arial"/>
          <w:szCs w:val="21"/>
        </w:rPr>
      </w:pPr>
      <w:r>
        <w:rPr>
          <w:rFonts w:ascii="宋体" w:hAnsi="宋体" w:cs="Arial"/>
          <w:szCs w:val="21"/>
        </w:rPr>
        <w:t>抬升油缸举升力可控调、可检测功能。</w:t>
      </w:r>
    </w:p>
    <w:p w14:paraId="62A29D62">
      <w:pPr>
        <w:pStyle w:val="3"/>
        <w:spacing w:line="360" w:lineRule="auto"/>
        <w:ind w:firstLine="0"/>
        <w:rPr>
          <w:rFonts w:hint="eastAsia" w:ascii="宋体" w:hAnsi="宋体" w:cs="Arial"/>
          <w:b/>
          <w:bCs/>
          <w:szCs w:val="21"/>
        </w:rPr>
      </w:pPr>
      <w:r>
        <w:rPr>
          <w:rFonts w:hint="eastAsia" w:ascii="宋体" w:hAnsi="宋体" w:cs="Arial"/>
          <w:b/>
          <w:bCs/>
          <w:szCs w:val="21"/>
        </w:rPr>
        <w:t>5.4.4</w:t>
      </w:r>
      <w:r>
        <w:rPr>
          <w:rFonts w:hint="eastAsia" w:ascii="宋体" w:hAnsi="宋体" w:cs="Arial"/>
          <w:b/>
          <w:bCs/>
          <w:szCs w:val="21"/>
        </w:rPr>
        <w:tab/>
      </w:r>
      <w:r>
        <w:rPr>
          <w:rFonts w:ascii="宋体" w:hAnsi="宋体" w:cs="Arial"/>
          <w:b/>
          <w:bCs/>
          <w:szCs w:val="21"/>
        </w:rPr>
        <w:t>外轴箱支撑装置</w:t>
      </w:r>
    </w:p>
    <w:p w14:paraId="137CB07D">
      <w:pPr>
        <w:pStyle w:val="3"/>
        <w:widowControl/>
        <w:numPr>
          <w:ilvl w:val="0"/>
          <w:numId w:val="16"/>
        </w:numPr>
        <w:tabs>
          <w:tab w:val="left" w:pos="900"/>
          <w:tab w:val="clear" w:pos="960"/>
        </w:tabs>
        <w:spacing w:line="360" w:lineRule="auto"/>
        <w:jc w:val="left"/>
        <w:rPr>
          <w:rFonts w:hint="eastAsia" w:ascii="宋体" w:hAnsi="宋体" w:cs="Arial"/>
          <w:szCs w:val="21"/>
        </w:rPr>
      </w:pPr>
      <w:r>
        <w:rPr>
          <w:rFonts w:ascii="宋体" w:hAnsi="宋体" w:cs="Arial"/>
          <w:szCs w:val="21"/>
        </w:rPr>
        <w:t>自动升降功能，并且此功能编程在机床的加工功能循环内。</w:t>
      </w:r>
    </w:p>
    <w:p w14:paraId="318B76DD">
      <w:pPr>
        <w:pStyle w:val="3"/>
        <w:widowControl/>
        <w:numPr>
          <w:ilvl w:val="0"/>
          <w:numId w:val="16"/>
        </w:numPr>
        <w:tabs>
          <w:tab w:val="left" w:pos="900"/>
          <w:tab w:val="clear" w:pos="960"/>
        </w:tabs>
        <w:spacing w:line="360" w:lineRule="auto"/>
        <w:jc w:val="left"/>
        <w:rPr>
          <w:rFonts w:hint="eastAsia" w:ascii="宋体" w:hAnsi="宋体" w:cs="Arial"/>
          <w:szCs w:val="21"/>
        </w:rPr>
      </w:pPr>
      <w:r>
        <w:rPr>
          <w:rFonts w:hint="eastAsia" w:ascii="宋体" w:hAnsi="宋体" w:cs="Arial"/>
          <w:szCs w:val="21"/>
        </w:rPr>
        <w:t>具有</w:t>
      </w:r>
      <w:r>
        <w:rPr>
          <w:rFonts w:ascii="宋体" w:hAnsi="宋体" w:cs="Arial"/>
          <w:szCs w:val="21"/>
        </w:rPr>
        <w:t>辅助定位机能</w:t>
      </w:r>
      <w:r>
        <w:rPr>
          <w:rFonts w:hint="eastAsia" w:ascii="宋体" w:hAnsi="宋体" w:cs="Arial"/>
          <w:szCs w:val="21"/>
        </w:rPr>
        <w:t>。</w:t>
      </w:r>
      <w:r>
        <w:rPr>
          <w:rFonts w:ascii="宋体" w:hAnsi="宋体" w:cs="Arial"/>
          <w:szCs w:val="21"/>
        </w:rPr>
        <w:t>被加工轮对轴线初始定位元件是双滚轮支撑装置。外轴箱支撑装置借助于接触压力达到设定值后停止举升，不破坏双滚轮确定的轮对定心轴线原始位置。</w:t>
      </w:r>
    </w:p>
    <w:p w14:paraId="4E5BD2C0">
      <w:pPr>
        <w:pStyle w:val="3"/>
        <w:widowControl/>
        <w:numPr>
          <w:ilvl w:val="0"/>
          <w:numId w:val="16"/>
        </w:numPr>
        <w:tabs>
          <w:tab w:val="left" w:pos="900"/>
          <w:tab w:val="clear" w:pos="960"/>
        </w:tabs>
        <w:spacing w:line="360" w:lineRule="auto"/>
        <w:ind w:left="900" w:hanging="420"/>
        <w:jc w:val="left"/>
        <w:rPr>
          <w:rFonts w:hint="eastAsia" w:ascii="宋体" w:hAnsi="宋体" w:cs="Arial"/>
          <w:szCs w:val="21"/>
        </w:rPr>
      </w:pPr>
      <w:r>
        <w:rPr>
          <w:rFonts w:ascii="宋体" w:hAnsi="宋体" w:cs="Arial"/>
          <w:szCs w:val="21"/>
        </w:rPr>
        <w:t>对被加工轮对轴线的径向位置具有保持、锁定功能，即使在断电的情况下也锁紧。在加工过程中，借助于外轴箱支撑装置作用，保持轮对轴线固定不动。</w:t>
      </w:r>
    </w:p>
    <w:p w14:paraId="33B1011E">
      <w:pPr>
        <w:pStyle w:val="3"/>
        <w:widowControl/>
        <w:numPr>
          <w:ilvl w:val="0"/>
          <w:numId w:val="16"/>
        </w:numPr>
        <w:tabs>
          <w:tab w:val="left" w:pos="900"/>
          <w:tab w:val="clear" w:pos="960"/>
        </w:tabs>
        <w:spacing w:line="360" w:lineRule="auto"/>
        <w:ind w:left="900" w:hanging="420"/>
        <w:jc w:val="left"/>
        <w:rPr>
          <w:rFonts w:hint="eastAsia" w:ascii="宋体" w:hAnsi="宋体" w:cs="Arial"/>
          <w:szCs w:val="21"/>
        </w:rPr>
      </w:pPr>
      <w:r>
        <w:rPr>
          <w:rFonts w:ascii="宋体" w:hAnsi="宋体" w:cs="Arial"/>
          <w:szCs w:val="21"/>
        </w:rPr>
        <w:t>轴重分配功能。轮对轴重由定位双滚轮和外轴箱支撑装置保持装置共同承担，两者的重量分配比例，要兼顾既不能在切削力过大时发生双滚轮与车轮踏面间的相对滑动，也不能使外轴箱支撑失去定心保持作用。机床可根据车重自动调整，也可以由机床操作人员进行调整。</w:t>
      </w:r>
    </w:p>
    <w:p w14:paraId="2884AEEC">
      <w:pPr>
        <w:pStyle w:val="3"/>
        <w:widowControl/>
        <w:numPr>
          <w:ilvl w:val="0"/>
          <w:numId w:val="16"/>
        </w:numPr>
        <w:tabs>
          <w:tab w:val="left" w:pos="900"/>
          <w:tab w:val="clear" w:pos="960"/>
        </w:tabs>
        <w:spacing w:line="360" w:lineRule="auto"/>
        <w:ind w:left="900" w:hanging="420"/>
        <w:jc w:val="left"/>
        <w:rPr>
          <w:rFonts w:hint="eastAsia" w:ascii="宋体" w:hAnsi="宋体" w:cs="Arial"/>
          <w:szCs w:val="21"/>
        </w:rPr>
      </w:pPr>
      <w:r>
        <w:rPr>
          <w:rFonts w:ascii="宋体" w:hAnsi="宋体" w:cs="Arial"/>
          <w:szCs w:val="21"/>
        </w:rPr>
        <w:t>安全限位功能。在轴箱支撑定位装置上安装有高、低位安全限制开关。</w:t>
      </w:r>
    </w:p>
    <w:p w14:paraId="0537511B">
      <w:pPr>
        <w:pStyle w:val="3"/>
        <w:widowControl/>
        <w:numPr>
          <w:ilvl w:val="0"/>
          <w:numId w:val="16"/>
        </w:numPr>
        <w:tabs>
          <w:tab w:val="left" w:pos="900"/>
          <w:tab w:val="clear" w:pos="960"/>
        </w:tabs>
        <w:spacing w:line="360" w:lineRule="auto"/>
        <w:ind w:left="900" w:hanging="420"/>
        <w:jc w:val="left"/>
        <w:rPr>
          <w:rFonts w:hint="eastAsia" w:ascii="宋体" w:hAnsi="宋体" w:cs="Arial"/>
          <w:szCs w:val="21"/>
        </w:rPr>
      </w:pPr>
      <w:r>
        <w:rPr>
          <w:rFonts w:ascii="宋体" w:hAnsi="宋体" w:cs="Arial"/>
          <w:szCs w:val="21"/>
        </w:rPr>
        <w:t>外轴箱支撑装置应能适应不同的轴长和不同类型的轴箱，其支撑头应根据轴箱的不同形状进行设计和制造。</w:t>
      </w:r>
    </w:p>
    <w:p w14:paraId="362F2338">
      <w:pPr>
        <w:pStyle w:val="3"/>
        <w:spacing w:line="360" w:lineRule="auto"/>
        <w:ind w:firstLine="0"/>
        <w:rPr>
          <w:rFonts w:hint="eastAsia" w:ascii="宋体" w:hAnsi="宋体" w:cs="Arial"/>
          <w:b/>
          <w:bCs/>
          <w:szCs w:val="21"/>
        </w:rPr>
      </w:pPr>
      <w:r>
        <w:rPr>
          <w:rFonts w:hint="eastAsia" w:ascii="宋体" w:hAnsi="宋体" w:cs="Arial"/>
          <w:b/>
          <w:bCs/>
          <w:szCs w:val="21"/>
        </w:rPr>
        <w:t>5.4.5</w:t>
      </w:r>
      <w:r>
        <w:rPr>
          <w:rFonts w:hint="eastAsia" w:ascii="宋体" w:hAnsi="宋体" w:cs="Arial"/>
          <w:b/>
          <w:bCs/>
          <w:szCs w:val="21"/>
        </w:rPr>
        <w:tab/>
      </w:r>
      <w:r>
        <w:rPr>
          <w:rFonts w:ascii="宋体" w:hAnsi="宋体" w:cs="Arial"/>
          <w:b/>
          <w:bCs/>
          <w:szCs w:val="21"/>
        </w:rPr>
        <w:t>外轴箱压下装置</w:t>
      </w:r>
    </w:p>
    <w:p w14:paraId="4966EDD7">
      <w:pPr>
        <w:pStyle w:val="3"/>
        <w:widowControl/>
        <w:numPr>
          <w:ilvl w:val="0"/>
          <w:numId w:val="17"/>
        </w:numPr>
        <w:tabs>
          <w:tab w:val="left" w:pos="900"/>
          <w:tab w:val="clear" w:pos="960"/>
        </w:tabs>
        <w:spacing w:line="360" w:lineRule="auto"/>
        <w:ind w:left="900" w:hanging="418"/>
        <w:jc w:val="left"/>
        <w:rPr>
          <w:rFonts w:hint="eastAsia" w:ascii="宋体" w:hAnsi="宋体" w:cs="Arial"/>
          <w:szCs w:val="21"/>
        </w:rPr>
      </w:pPr>
      <w:r>
        <w:rPr>
          <w:rFonts w:ascii="宋体" w:hAnsi="宋体" w:cs="Arial"/>
          <w:szCs w:val="21"/>
        </w:rPr>
        <w:t>夹紧装置作用。并增大车轮踏面与双驱动滚轮间的正压力和摩擦力矩，防止切削力过大时发生双滚轮与车轮踏面间的相对滑动。</w:t>
      </w:r>
    </w:p>
    <w:p w14:paraId="0CBF2A6C">
      <w:pPr>
        <w:pStyle w:val="3"/>
        <w:widowControl/>
        <w:numPr>
          <w:ilvl w:val="0"/>
          <w:numId w:val="17"/>
        </w:numPr>
        <w:tabs>
          <w:tab w:val="left" w:pos="900"/>
          <w:tab w:val="clear" w:pos="960"/>
        </w:tabs>
        <w:spacing w:line="360" w:lineRule="auto"/>
        <w:ind w:left="900" w:hanging="418"/>
        <w:jc w:val="left"/>
        <w:rPr>
          <w:rFonts w:hint="eastAsia" w:ascii="宋体" w:hAnsi="宋体" w:cs="Arial"/>
          <w:szCs w:val="21"/>
        </w:rPr>
      </w:pPr>
      <w:r>
        <w:rPr>
          <w:rFonts w:ascii="宋体" w:hAnsi="宋体" w:cs="Arial"/>
          <w:szCs w:val="21"/>
        </w:rPr>
        <w:t>具有定位机能。</w:t>
      </w:r>
    </w:p>
    <w:p w14:paraId="1CCB387E">
      <w:pPr>
        <w:pStyle w:val="3"/>
        <w:widowControl/>
        <w:numPr>
          <w:ilvl w:val="0"/>
          <w:numId w:val="17"/>
        </w:numPr>
        <w:tabs>
          <w:tab w:val="left" w:pos="900"/>
          <w:tab w:val="clear" w:pos="960"/>
        </w:tabs>
        <w:spacing w:line="360" w:lineRule="auto"/>
        <w:ind w:left="900" w:hanging="418"/>
        <w:jc w:val="left"/>
        <w:rPr>
          <w:rFonts w:hint="eastAsia" w:ascii="宋体" w:hAnsi="宋体" w:cs="Arial"/>
          <w:szCs w:val="21"/>
        </w:rPr>
      </w:pPr>
      <w:r>
        <w:rPr>
          <w:rFonts w:ascii="宋体" w:hAnsi="宋体" w:cs="Arial"/>
          <w:szCs w:val="21"/>
        </w:rPr>
        <w:t>在加工之前，CNC根据轮对的轴重及所要求的切屑面积来计算所需要的压下力。压下力的最大值不得超过所允许的最大轴重值。</w:t>
      </w:r>
    </w:p>
    <w:p w14:paraId="3B4309A6">
      <w:pPr>
        <w:pStyle w:val="3"/>
        <w:widowControl/>
        <w:numPr>
          <w:ilvl w:val="0"/>
          <w:numId w:val="17"/>
        </w:numPr>
        <w:tabs>
          <w:tab w:val="left" w:pos="900"/>
          <w:tab w:val="clear" w:pos="960"/>
        </w:tabs>
        <w:spacing w:line="360" w:lineRule="auto"/>
        <w:ind w:left="900" w:hanging="418"/>
        <w:jc w:val="left"/>
        <w:rPr>
          <w:rFonts w:hint="eastAsia" w:ascii="宋体" w:hAnsi="宋体" w:cs="Arial"/>
          <w:szCs w:val="21"/>
        </w:rPr>
      </w:pPr>
      <w:r>
        <w:rPr>
          <w:rFonts w:ascii="宋体" w:hAnsi="宋体" w:cs="Arial"/>
          <w:szCs w:val="21"/>
        </w:rPr>
        <w:t>轴箱压下装置具有垂直升降、水平伸缩运动机能，并且</w:t>
      </w:r>
      <w:r>
        <w:rPr>
          <w:rFonts w:hint="eastAsia" w:ascii="宋体" w:hAnsi="宋体" w:cs="Arial"/>
          <w:szCs w:val="21"/>
        </w:rPr>
        <w:t>包含</w:t>
      </w:r>
      <w:r>
        <w:rPr>
          <w:rFonts w:ascii="宋体" w:hAnsi="宋体" w:cs="Arial"/>
          <w:szCs w:val="21"/>
        </w:rPr>
        <w:t>在机床的加工功能循环内。</w:t>
      </w:r>
    </w:p>
    <w:p w14:paraId="15D5F0E9">
      <w:pPr>
        <w:pStyle w:val="3"/>
        <w:widowControl/>
        <w:numPr>
          <w:ilvl w:val="0"/>
          <w:numId w:val="17"/>
        </w:numPr>
        <w:tabs>
          <w:tab w:val="left" w:pos="900"/>
          <w:tab w:val="clear" w:pos="960"/>
        </w:tabs>
        <w:spacing w:line="360" w:lineRule="auto"/>
        <w:ind w:left="900" w:hanging="418"/>
        <w:jc w:val="left"/>
        <w:rPr>
          <w:rFonts w:hint="eastAsia" w:ascii="宋体" w:hAnsi="宋体" w:cs="Arial"/>
          <w:szCs w:val="21"/>
        </w:rPr>
      </w:pPr>
      <w:r>
        <w:rPr>
          <w:rFonts w:ascii="宋体" w:hAnsi="宋体" w:cs="Arial"/>
          <w:szCs w:val="21"/>
        </w:rPr>
        <w:t>压下装置运动安全、可靠，各运动的极限位置均设置限位行程开关。</w:t>
      </w:r>
    </w:p>
    <w:p w14:paraId="4B87D8AF">
      <w:pPr>
        <w:pStyle w:val="3"/>
        <w:widowControl/>
        <w:numPr>
          <w:ilvl w:val="0"/>
          <w:numId w:val="17"/>
        </w:numPr>
        <w:tabs>
          <w:tab w:val="left" w:pos="900"/>
          <w:tab w:val="clear" w:pos="960"/>
        </w:tabs>
        <w:spacing w:line="360" w:lineRule="auto"/>
        <w:ind w:left="900" w:hanging="418"/>
        <w:jc w:val="left"/>
        <w:rPr>
          <w:rFonts w:hint="eastAsia" w:ascii="宋体" w:hAnsi="宋体" w:cs="Arial"/>
          <w:szCs w:val="21"/>
        </w:rPr>
      </w:pPr>
      <w:r>
        <w:rPr>
          <w:rFonts w:ascii="宋体" w:hAnsi="宋体" w:cs="Arial"/>
          <w:szCs w:val="21"/>
        </w:rPr>
        <w:t>压下装置能适应不同的轴长和不同类型的轴箱。压下装置的压头根据被压轴箱的不同形状进行设计和制造。</w:t>
      </w:r>
    </w:p>
    <w:p w14:paraId="35909AB3">
      <w:pPr>
        <w:pStyle w:val="3"/>
        <w:spacing w:line="360" w:lineRule="auto"/>
        <w:ind w:firstLine="0"/>
        <w:rPr>
          <w:rFonts w:hint="eastAsia" w:ascii="宋体" w:hAnsi="宋体" w:cs="Arial"/>
          <w:b/>
          <w:bCs/>
          <w:szCs w:val="21"/>
        </w:rPr>
      </w:pPr>
      <w:r>
        <w:rPr>
          <w:rFonts w:hint="eastAsia" w:ascii="宋体" w:hAnsi="宋体" w:cs="Arial"/>
          <w:b/>
          <w:bCs/>
          <w:szCs w:val="21"/>
        </w:rPr>
        <w:t>5.4.6</w:t>
      </w:r>
      <w:r>
        <w:rPr>
          <w:rFonts w:ascii="宋体" w:hAnsi="宋体" w:cs="Arial"/>
          <w:b/>
          <w:bCs/>
          <w:szCs w:val="21"/>
        </w:rPr>
        <w:t>轴向定位装置</w:t>
      </w:r>
    </w:p>
    <w:p w14:paraId="078B98CD">
      <w:pPr>
        <w:pStyle w:val="5"/>
        <w:numPr>
          <w:ilvl w:val="1"/>
          <w:numId w:val="18"/>
        </w:numPr>
        <w:adjustRightInd w:val="0"/>
        <w:snapToGrid w:val="0"/>
        <w:rPr>
          <w:rFonts w:hint="eastAsia" w:cs="Arial"/>
          <w:sz w:val="21"/>
          <w:szCs w:val="21"/>
        </w:rPr>
      </w:pPr>
      <w:r>
        <w:rPr>
          <w:rFonts w:cs="Arial"/>
          <w:sz w:val="21"/>
          <w:szCs w:val="21"/>
        </w:rPr>
        <w:t>轮对轴向定位装置保证轮对轴向自动定心，限制轮对轴向加工过程中的轴向串动。</w:t>
      </w:r>
    </w:p>
    <w:p w14:paraId="1171A6CD">
      <w:pPr>
        <w:pStyle w:val="5"/>
        <w:adjustRightInd w:val="0"/>
        <w:snapToGrid w:val="0"/>
        <w:ind w:left="1115" w:leftChars="431" w:hanging="210" w:hangingChars="100"/>
        <w:rPr>
          <w:rFonts w:hint="eastAsia" w:cs="Arial"/>
          <w:sz w:val="21"/>
          <w:szCs w:val="21"/>
        </w:rPr>
      </w:pPr>
      <w:r>
        <w:rPr>
          <w:rFonts w:cs="Arial"/>
          <w:sz w:val="21"/>
          <w:szCs w:val="21"/>
        </w:rPr>
        <w:t>保证轮对轴向位置的可靠和稳定。通过模拟压力传感器，水平的压力可以显示在CNC的屏幕上</w:t>
      </w:r>
      <w:r>
        <w:rPr>
          <w:rFonts w:hint="eastAsia" w:cs="Arial"/>
          <w:sz w:val="21"/>
          <w:szCs w:val="21"/>
        </w:rPr>
        <w:t>。</w:t>
      </w:r>
    </w:p>
    <w:p w14:paraId="5018AE09">
      <w:pPr>
        <w:pStyle w:val="5"/>
        <w:numPr>
          <w:ilvl w:val="1"/>
          <w:numId w:val="18"/>
        </w:numPr>
        <w:adjustRightInd w:val="0"/>
        <w:snapToGrid w:val="0"/>
        <w:rPr>
          <w:rFonts w:hint="eastAsia" w:cs="Arial"/>
          <w:sz w:val="21"/>
          <w:szCs w:val="21"/>
        </w:rPr>
      </w:pPr>
      <w:r>
        <w:rPr>
          <w:rFonts w:cs="Arial"/>
          <w:sz w:val="21"/>
          <w:szCs w:val="21"/>
        </w:rPr>
        <w:t>轮对旋转加工时，自动定置侧压轮亦被轮对带动（摩擦）旋转。自动定</w:t>
      </w:r>
      <w:r>
        <w:rPr>
          <w:rFonts w:hint="eastAsia" w:cs="Arial"/>
          <w:sz w:val="21"/>
          <w:szCs w:val="21"/>
        </w:rPr>
        <w:t>置</w:t>
      </w:r>
      <w:r>
        <w:rPr>
          <w:rFonts w:cs="Arial"/>
          <w:sz w:val="21"/>
          <w:szCs w:val="21"/>
        </w:rPr>
        <w:t>侧压轮亦被轮对带动（摩擦）旋转。</w:t>
      </w:r>
    </w:p>
    <w:p w14:paraId="5DD96583">
      <w:pPr>
        <w:pStyle w:val="5"/>
        <w:adjustRightInd w:val="0"/>
        <w:snapToGrid w:val="0"/>
        <w:ind w:left="899" w:leftChars="428" w:firstLine="1"/>
        <w:rPr>
          <w:rFonts w:hint="eastAsia" w:cs="Arial"/>
          <w:sz w:val="21"/>
          <w:szCs w:val="21"/>
        </w:rPr>
      </w:pPr>
      <w:r>
        <w:rPr>
          <w:rFonts w:cs="Arial"/>
          <w:sz w:val="21"/>
          <w:szCs w:val="21"/>
        </w:rPr>
        <w:t>当轴向定位装置撤回时，可进行车轮内侧表面的加工。移动轨道的“入位”和“离位”也是在轴向定位装置撤回时进行的。</w:t>
      </w:r>
    </w:p>
    <w:p w14:paraId="78182F0C">
      <w:pPr>
        <w:pStyle w:val="3"/>
        <w:spacing w:line="360" w:lineRule="auto"/>
        <w:ind w:firstLine="0"/>
        <w:rPr>
          <w:rFonts w:hint="eastAsia" w:ascii="宋体" w:hAnsi="宋体" w:cs="Arial"/>
          <w:b/>
          <w:bCs/>
          <w:szCs w:val="21"/>
        </w:rPr>
      </w:pPr>
      <w:r>
        <w:rPr>
          <w:rFonts w:hint="eastAsia" w:ascii="宋体" w:hAnsi="宋体" w:cs="Arial"/>
          <w:b/>
          <w:bCs/>
          <w:szCs w:val="21"/>
        </w:rPr>
        <w:t>5.4.7</w:t>
      </w:r>
      <w:r>
        <w:rPr>
          <w:rFonts w:ascii="宋体" w:hAnsi="宋体" w:cs="Arial"/>
          <w:b/>
          <w:bCs/>
          <w:szCs w:val="21"/>
        </w:rPr>
        <w:t>滑动刀座</w:t>
      </w:r>
    </w:p>
    <w:p w14:paraId="52D1E51B">
      <w:pPr>
        <w:pStyle w:val="3"/>
        <w:spacing w:line="360" w:lineRule="auto"/>
        <w:ind w:left="840" w:leftChars="200" w:hanging="420" w:hangingChars="200"/>
        <w:rPr>
          <w:rFonts w:hint="eastAsia" w:ascii="宋体" w:hAnsi="宋体" w:cs="Arial"/>
          <w:szCs w:val="21"/>
        </w:rPr>
      </w:pPr>
      <w:r>
        <w:rPr>
          <w:rFonts w:hint="eastAsia" w:ascii="宋体" w:hAnsi="宋体" w:cs="Arial"/>
          <w:szCs w:val="21"/>
        </w:rPr>
        <w:t>1）</w:t>
      </w:r>
      <w:r>
        <w:rPr>
          <w:rFonts w:ascii="宋体" w:hAnsi="宋体" w:cs="Arial"/>
          <w:szCs w:val="21"/>
        </w:rPr>
        <w:t>滑动刀座移动产生间隙</w:t>
      </w:r>
      <w:r>
        <w:rPr>
          <w:rFonts w:hint="eastAsia" w:ascii="宋体" w:hAnsi="宋体" w:cs="Arial"/>
          <w:szCs w:val="21"/>
        </w:rPr>
        <w:t>，</w:t>
      </w:r>
      <w:r>
        <w:rPr>
          <w:rFonts w:ascii="宋体" w:hAnsi="宋体" w:cs="Arial"/>
          <w:szCs w:val="21"/>
        </w:rPr>
        <w:t>可通过传动机构间隙调整系统控制。其中滚珠丝杠采用</w:t>
      </w:r>
      <w:r>
        <w:rPr>
          <w:rFonts w:hint="eastAsia" w:ascii="宋体" w:hAnsi="宋体" w:cs="Arial"/>
          <w:szCs w:val="21"/>
        </w:rPr>
        <w:t>国际</w:t>
      </w:r>
      <w:r>
        <w:rPr>
          <w:rFonts w:ascii="宋体" w:hAnsi="宋体" w:cs="Arial"/>
          <w:szCs w:val="21"/>
        </w:rPr>
        <w:t>知名品牌产品。</w:t>
      </w:r>
    </w:p>
    <w:p w14:paraId="594F1F7D">
      <w:pPr>
        <w:pStyle w:val="3"/>
        <w:spacing w:line="360" w:lineRule="auto"/>
        <w:ind w:left="426" w:firstLine="0"/>
        <w:rPr>
          <w:rFonts w:hint="eastAsia" w:ascii="宋体" w:hAnsi="宋体" w:cs="Arial"/>
          <w:szCs w:val="21"/>
        </w:rPr>
      </w:pPr>
      <w:r>
        <w:rPr>
          <w:rFonts w:hint="eastAsia" w:ascii="宋体" w:hAnsi="宋体" w:cs="Arial"/>
          <w:szCs w:val="21"/>
        </w:rPr>
        <w:t>2）</w:t>
      </w:r>
      <w:r>
        <w:rPr>
          <w:rFonts w:ascii="宋体" w:hAnsi="宋体" w:cs="Arial"/>
          <w:szCs w:val="21"/>
        </w:rPr>
        <w:t>刀架伺服驱动电机应采用国际知名品牌产品，与CNC控制系统配套。</w:t>
      </w:r>
    </w:p>
    <w:p w14:paraId="4B77E0B7">
      <w:pPr>
        <w:pStyle w:val="3"/>
        <w:spacing w:line="360" w:lineRule="auto"/>
        <w:ind w:left="426" w:firstLine="0"/>
        <w:rPr>
          <w:rFonts w:hint="eastAsia" w:ascii="宋体" w:hAnsi="宋体" w:cs="Arial"/>
          <w:szCs w:val="21"/>
        </w:rPr>
      </w:pPr>
      <w:r>
        <w:rPr>
          <w:rFonts w:hint="eastAsia" w:ascii="宋体" w:hAnsi="宋体" w:cs="Arial"/>
          <w:szCs w:val="21"/>
        </w:rPr>
        <w:t>3）</w:t>
      </w:r>
      <w:r>
        <w:rPr>
          <w:rFonts w:ascii="宋体" w:hAnsi="宋体" w:cs="Arial"/>
          <w:szCs w:val="21"/>
        </w:rPr>
        <w:t>刀具系统为模块化设计，同时提供刀具系统规格</w:t>
      </w:r>
      <w:r>
        <w:rPr>
          <w:rFonts w:hint="eastAsia" w:ascii="宋体" w:hAnsi="宋体" w:cs="Arial"/>
          <w:szCs w:val="21"/>
        </w:rPr>
        <w:t>及制造商。</w:t>
      </w:r>
      <w:r>
        <w:rPr>
          <w:rFonts w:ascii="宋体" w:hAnsi="宋体" w:cs="Arial"/>
          <w:szCs w:val="21"/>
        </w:rPr>
        <w:t>刀具采用国际知名品牌产品</w:t>
      </w:r>
      <w:r>
        <w:rPr>
          <w:rFonts w:hint="eastAsia" w:ascii="宋体" w:hAnsi="宋体" w:cs="Arial"/>
          <w:szCs w:val="21"/>
        </w:rPr>
        <w:t>，例如：肯纳、山特维克等同档次品牌</w:t>
      </w:r>
      <w:r>
        <w:rPr>
          <w:rFonts w:ascii="宋体" w:hAnsi="宋体" w:cs="Arial"/>
          <w:szCs w:val="21"/>
        </w:rPr>
        <w:t>。</w:t>
      </w:r>
    </w:p>
    <w:p w14:paraId="50F4B24F">
      <w:pPr>
        <w:spacing w:line="360" w:lineRule="auto"/>
        <w:rPr>
          <w:rFonts w:hint="eastAsia" w:ascii="宋体" w:hAnsi="宋体"/>
          <w:b/>
        </w:rPr>
      </w:pPr>
      <w:r>
        <w:rPr>
          <w:rFonts w:hint="eastAsia" w:ascii="宋体" w:hAnsi="宋体"/>
          <w:b/>
        </w:rPr>
        <w:t>5</w:t>
      </w:r>
      <w:r>
        <w:rPr>
          <w:rFonts w:ascii="宋体" w:hAnsi="宋体"/>
          <w:b/>
        </w:rPr>
        <w:t>.</w:t>
      </w:r>
      <w:r>
        <w:rPr>
          <w:rFonts w:hint="eastAsia" w:ascii="宋体" w:hAnsi="宋体"/>
          <w:b/>
        </w:rPr>
        <w:t>4</w:t>
      </w:r>
      <w:r>
        <w:rPr>
          <w:rFonts w:ascii="宋体" w:hAnsi="宋体"/>
          <w:b/>
        </w:rPr>
        <w:t>.</w:t>
      </w:r>
      <w:r>
        <w:rPr>
          <w:rFonts w:hint="eastAsia" w:ascii="宋体" w:hAnsi="宋体"/>
          <w:b/>
        </w:rPr>
        <w:t>8</w:t>
      </w:r>
      <w:r>
        <w:rPr>
          <w:rFonts w:ascii="宋体" w:hAnsi="宋体"/>
          <w:b/>
        </w:rPr>
        <w:t>测量系统</w:t>
      </w:r>
    </w:p>
    <w:p w14:paraId="566954C5">
      <w:pPr>
        <w:widowControl/>
        <w:overflowPunct w:val="0"/>
        <w:autoSpaceDE w:val="0"/>
        <w:autoSpaceDN w:val="0"/>
        <w:adjustRightInd w:val="0"/>
        <w:snapToGrid w:val="0"/>
        <w:spacing w:line="360" w:lineRule="auto"/>
        <w:ind w:left="1050" w:leftChars="100" w:hanging="840" w:hangingChars="400"/>
        <w:jc w:val="left"/>
        <w:textAlignment w:val="baseline"/>
        <w:rPr>
          <w:rFonts w:hint="eastAsia" w:ascii="宋体" w:hAnsi="宋体" w:cs="Arial"/>
        </w:rPr>
      </w:pPr>
      <w:r>
        <w:rPr>
          <w:rFonts w:hint="eastAsia" w:ascii="宋体" w:hAnsi="宋体" w:cs="Arial"/>
        </w:rPr>
        <w:t>5.4.8.1</w:t>
      </w:r>
      <w:r>
        <w:rPr>
          <w:rFonts w:ascii="宋体" w:hAnsi="宋体" w:cs="Arial"/>
        </w:rPr>
        <w:t>可自动进行轮对加工前定位测量</w:t>
      </w:r>
      <w:r>
        <w:rPr>
          <w:rFonts w:hint="eastAsia" w:ascii="宋体" w:hAnsi="宋体" w:cs="Arial"/>
        </w:rPr>
        <w:t>及</w:t>
      </w:r>
      <w:r>
        <w:rPr>
          <w:rFonts w:ascii="宋体" w:hAnsi="宋体" w:cs="Arial"/>
        </w:rPr>
        <w:t>轮对内侧距、车轮直径、轮缘高度、轮缘厚度、轮对QR值</w:t>
      </w:r>
      <w:r>
        <w:rPr>
          <w:rFonts w:hint="eastAsia" w:ascii="宋体" w:hAnsi="宋体" w:cs="Arial"/>
        </w:rPr>
        <w:t>、</w:t>
      </w:r>
      <w:r>
        <w:rPr>
          <w:rFonts w:ascii="宋体" w:hAnsi="宋体" w:cs="Arial"/>
        </w:rPr>
        <w:t>轮廓磨耗测量</w:t>
      </w:r>
      <w:r>
        <w:rPr>
          <w:rFonts w:hint="eastAsia" w:ascii="宋体" w:hAnsi="宋体" w:cs="Arial"/>
        </w:rPr>
        <w:t>（</w:t>
      </w:r>
      <w:r>
        <w:rPr>
          <w:rFonts w:ascii="宋体" w:hAnsi="宋体" w:cs="Arial"/>
        </w:rPr>
        <w:t>在轮对车轮廓形上至少设定10个测点，每个车轮至少5个点</w:t>
      </w:r>
      <w:r>
        <w:rPr>
          <w:rFonts w:hint="eastAsia" w:ascii="宋体" w:hAnsi="宋体" w:cs="Arial"/>
        </w:rPr>
        <w:t>）。</w:t>
      </w:r>
    </w:p>
    <w:p w14:paraId="21E5DBC4">
      <w:pPr>
        <w:pStyle w:val="3"/>
        <w:tabs>
          <w:tab w:val="left" w:pos="360"/>
        </w:tabs>
        <w:spacing w:line="360" w:lineRule="auto"/>
        <w:ind w:firstLine="210" w:firstLineChars="100"/>
        <w:rPr>
          <w:rFonts w:hint="eastAsia" w:ascii="宋体" w:hAnsi="宋体" w:cs="Arial"/>
          <w:szCs w:val="21"/>
        </w:rPr>
      </w:pPr>
      <w:r>
        <w:rPr>
          <w:rFonts w:hint="eastAsia" w:ascii="宋体" w:hAnsi="宋体" w:cs="Arial"/>
          <w:szCs w:val="21"/>
        </w:rPr>
        <w:t>5.4.8.2</w:t>
      </w:r>
      <w:r>
        <w:rPr>
          <w:rFonts w:ascii="宋体" w:hAnsi="宋体" w:cs="Arial"/>
          <w:szCs w:val="21"/>
        </w:rPr>
        <w:t>加工建议及建议更正功能</w:t>
      </w:r>
    </w:p>
    <w:p w14:paraId="0A2CABA6">
      <w:pPr>
        <w:pStyle w:val="5"/>
        <w:adjustRightInd w:val="0"/>
        <w:snapToGrid w:val="0"/>
        <w:ind w:left="899" w:leftChars="428" w:firstLine="1"/>
        <w:rPr>
          <w:rFonts w:hint="eastAsia" w:cs="Arial"/>
          <w:sz w:val="21"/>
          <w:szCs w:val="21"/>
        </w:rPr>
      </w:pPr>
      <w:r>
        <w:rPr>
          <w:rFonts w:cs="Arial"/>
          <w:sz w:val="21"/>
          <w:szCs w:val="21"/>
        </w:rPr>
        <w:t>测量所得的数据与计算机数控已输入的每一种廓形进行比较分析，从而得出新的廓形和加工直径建议，系统计算出最大加工深度，粗车和精车的分配，进刀量和切削深度、加工面的建议。此建议可在控制面板上显示出来，操作者可加以更正。</w:t>
      </w:r>
    </w:p>
    <w:p w14:paraId="6EC1B0AE">
      <w:pPr>
        <w:pStyle w:val="3"/>
        <w:spacing w:line="360" w:lineRule="auto"/>
        <w:ind w:left="540" w:leftChars="257" w:firstLine="357" w:firstLineChars="170"/>
        <w:rPr>
          <w:rFonts w:hint="eastAsia" w:ascii="宋体" w:hAnsi="宋体" w:cs="Arial"/>
          <w:szCs w:val="21"/>
        </w:rPr>
      </w:pPr>
      <w:r>
        <w:rPr>
          <w:rFonts w:ascii="宋体" w:hAnsi="宋体" w:cs="Arial"/>
          <w:szCs w:val="21"/>
        </w:rPr>
        <w:t>计算机数控向操作者可提供下列两种操作：</w:t>
      </w:r>
    </w:p>
    <w:p w14:paraId="17A3F7F4">
      <w:pPr>
        <w:numPr>
          <w:ilvl w:val="1"/>
          <w:numId w:val="19"/>
        </w:numPr>
        <w:tabs>
          <w:tab w:val="left" w:pos="1260"/>
          <w:tab w:val="clear" w:pos="1320"/>
        </w:tabs>
        <w:adjustRightInd w:val="0"/>
        <w:snapToGrid w:val="0"/>
        <w:spacing w:line="360" w:lineRule="auto"/>
        <w:ind w:left="1260" w:hanging="360"/>
        <w:rPr>
          <w:rFonts w:hint="eastAsia" w:ascii="宋体" w:hAnsi="宋体" w:cs="Arial"/>
        </w:rPr>
      </w:pPr>
      <w:r>
        <w:rPr>
          <w:rFonts w:ascii="宋体" w:hAnsi="宋体" w:cs="Arial"/>
        </w:rPr>
        <w:t>如果CNC计算出的加工建议满足操作者的要求，操作者可使加工循环生效，加工循环自动进行。</w:t>
      </w:r>
    </w:p>
    <w:p w14:paraId="086BFF1F">
      <w:pPr>
        <w:numPr>
          <w:ilvl w:val="1"/>
          <w:numId w:val="19"/>
        </w:numPr>
        <w:tabs>
          <w:tab w:val="left" w:pos="1260"/>
          <w:tab w:val="clear" w:pos="1320"/>
        </w:tabs>
        <w:adjustRightInd w:val="0"/>
        <w:snapToGrid w:val="0"/>
        <w:spacing w:line="360" w:lineRule="auto"/>
        <w:ind w:left="1260" w:hanging="360"/>
        <w:rPr>
          <w:rFonts w:hint="eastAsia" w:ascii="宋体" w:hAnsi="宋体" w:cs="Arial"/>
        </w:rPr>
      </w:pPr>
      <w:r>
        <w:rPr>
          <w:rFonts w:ascii="宋体" w:hAnsi="宋体" w:cs="Arial"/>
        </w:rPr>
        <w:t>操作者更正数据输入，CNC再次对新直径进行计算。操作者可使其生效，加工循环自动进行。</w:t>
      </w:r>
    </w:p>
    <w:p w14:paraId="3226F392">
      <w:pPr>
        <w:pStyle w:val="3"/>
        <w:tabs>
          <w:tab w:val="left" w:pos="360"/>
        </w:tabs>
        <w:spacing w:line="360" w:lineRule="auto"/>
        <w:ind w:firstLine="210" w:firstLineChars="100"/>
        <w:rPr>
          <w:rFonts w:hint="eastAsia" w:ascii="宋体" w:hAnsi="宋体" w:cs="Arial"/>
          <w:szCs w:val="21"/>
        </w:rPr>
      </w:pPr>
      <w:r>
        <w:rPr>
          <w:rFonts w:hint="eastAsia" w:ascii="宋体" w:hAnsi="宋体" w:cs="Arial"/>
          <w:szCs w:val="21"/>
        </w:rPr>
        <w:t>5.4.8.3</w:t>
      </w:r>
      <w:r>
        <w:rPr>
          <w:rFonts w:ascii="宋体" w:hAnsi="宋体" w:cs="Arial"/>
          <w:szCs w:val="21"/>
        </w:rPr>
        <w:t>修正/补偿功能</w:t>
      </w:r>
    </w:p>
    <w:p w14:paraId="1B5B016E">
      <w:pPr>
        <w:numPr>
          <w:ilvl w:val="0"/>
          <w:numId w:val="20"/>
        </w:numPr>
        <w:tabs>
          <w:tab w:val="left" w:pos="1260"/>
          <w:tab w:val="clear" w:pos="900"/>
        </w:tabs>
        <w:adjustRightInd w:val="0"/>
        <w:snapToGrid w:val="0"/>
        <w:spacing w:line="360" w:lineRule="auto"/>
        <w:ind w:left="1256" w:leftChars="428" w:hanging="357" w:hangingChars="170"/>
        <w:rPr>
          <w:rFonts w:hint="eastAsia" w:ascii="宋体" w:hAnsi="宋体" w:cs="Arial"/>
        </w:rPr>
      </w:pPr>
      <w:r>
        <w:rPr>
          <w:rFonts w:ascii="宋体" w:hAnsi="宋体" w:cs="Arial"/>
        </w:rPr>
        <w:t>CNC控制系统需提供一个通过计算参数来修正测量轮磨损的方法。</w:t>
      </w:r>
    </w:p>
    <w:p w14:paraId="0D52A731">
      <w:pPr>
        <w:numPr>
          <w:ilvl w:val="0"/>
          <w:numId w:val="20"/>
        </w:numPr>
        <w:tabs>
          <w:tab w:val="left" w:pos="1260"/>
          <w:tab w:val="clear" w:pos="900"/>
        </w:tabs>
        <w:adjustRightInd w:val="0"/>
        <w:snapToGrid w:val="0"/>
        <w:spacing w:line="360" w:lineRule="auto"/>
        <w:ind w:left="1256" w:leftChars="428" w:hanging="357" w:hangingChars="170"/>
        <w:rPr>
          <w:rFonts w:hint="eastAsia" w:ascii="宋体" w:hAnsi="宋体" w:cs="Arial"/>
        </w:rPr>
      </w:pPr>
      <w:r>
        <w:rPr>
          <w:rFonts w:ascii="宋体" w:hAnsi="宋体" w:cs="Arial"/>
        </w:rPr>
        <w:t>如果轴的错位太大，机床的测量系统会对轮对的位置误差进行补偿。</w:t>
      </w:r>
    </w:p>
    <w:p w14:paraId="36E4A831">
      <w:pPr>
        <w:pStyle w:val="3"/>
        <w:tabs>
          <w:tab w:val="left" w:pos="360"/>
        </w:tabs>
        <w:spacing w:line="360" w:lineRule="auto"/>
        <w:ind w:firstLine="210" w:firstLineChars="100"/>
        <w:rPr>
          <w:rFonts w:hint="eastAsia" w:ascii="宋体" w:hAnsi="宋体" w:cs="Arial"/>
          <w:szCs w:val="21"/>
        </w:rPr>
      </w:pPr>
      <w:r>
        <w:rPr>
          <w:rFonts w:hint="eastAsia" w:ascii="宋体" w:hAnsi="宋体" w:cs="Arial"/>
          <w:szCs w:val="21"/>
        </w:rPr>
        <w:t>5.4.8.4</w:t>
      </w:r>
      <w:r>
        <w:rPr>
          <w:rFonts w:ascii="宋体" w:hAnsi="宋体" w:cs="Arial"/>
          <w:szCs w:val="21"/>
        </w:rPr>
        <w:t>存储功能</w:t>
      </w:r>
    </w:p>
    <w:p w14:paraId="7D152BC6">
      <w:pPr>
        <w:pStyle w:val="5"/>
        <w:adjustRightInd w:val="0"/>
        <w:snapToGrid w:val="0"/>
        <w:ind w:left="899" w:leftChars="428" w:firstLine="1"/>
        <w:rPr>
          <w:rFonts w:hint="eastAsia" w:cs="Arial"/>
          <w:sz w:val="21"/>
          <w:szCs w:val="21"/>
        </w:rPr>
      </w:pPr>
      <w:r>
        <w:rPr>
          <w:rFonts w:cs="Arial"/>
          <w:sz w:val="21"/>
          <w:szCs w:val="21"/>
        </w:rPr>
        <w:t>在每一次加工后，对加工前的测量数据、加工建议、加工数据及加工后的测量数据，均可以保存在本地磁盘或转存至其他存储设备上，以作用户日后之用。</w:t>
      </w:r>
    </w:p>
    <w:p w14:paraId="303D522D">
      <w:pPr>
        <w:pStyle w:val="3"/>
        <w:tabs>
          <w:tab w:val="left" w:pos="360"/>
        </w:tabs>
        <w:spacing w:line="360" w:lineRule="auto"/>
        <w:ind w:firstLine="210" w:firstLineChars="100"/>
        <w:rPr>
          <w:rFonts w:hint="eastAsia" w:ascii="宋体" w:hAnsi="宋体" w:cs="Arial"/>
          <w:szCs w:val="21"/>
        </w:rPr>
      </w:pPr>
      <w:r>
        <w:rPr>
          <w:rFonts w:hint="eastAsia" w:ascii="宋体" w:hAnsi="宋体" w:cs="Arial"/>
          <w:szCs w:val="21"/>
        </w:rPr>
        <w:t>5.4.8.5</w:t>
      </w:r>
      <w:r>
        <w:rPr>
          <w:rFonts w:ascii="宋体" w:hAnsi="宋体" w:cs="Arial"/>
          <w:szCs w:val="21"/>
        </w:rPr>
        <w:t>测量装置采用国际知名品牌产品。</w:t>
      </w:r>
    </w:p>
    <w:p w14:paraId="3B865CF1">
      <w:pPr>
        <w:pStyle w:val="3"/>
        <w:tabs>
          <w:tab w:val="left" w:pos="360"/>
        </w:tabs>
        <w:spacing w:line="360" w:lineRule="auto"/>
        <w:ind w:firstLine="0"/>
        <w:rPr>
          <w:rFonts w:hint="eastAsia" w:ascii="宋体" w:hAnsi="宋体" w:cs="Arial"/>
          <w:szCs w:val="21"/>
        </w:rPr>
      </w:pPr>
    </w:p>
    <w:p w14:paraId="2CA8662A">
      <w:pPr>
        <w:tabs>
          <w:tab w:val="left" w:pos="1004"/>
        </w:tabs>
        <w:adjustRightInd w:val="0"/>
        <w:snapToGrid w:val="0"/>
        <w:spacing w:line="360" w:lineRule="auto"/>
        <w:rPr>
          <w:rFonts w:hint="eastAsia" w:ascii="宋体" w:hAnsi="宋体" w:cs="Arial"/>
          <w:b/>
        </w:rPr>
      </w:pPr>
      <w:r>
        <w:rPr>
          <w:rFonts w:hint="eastAsia" w:ascii="宋体" w:hAnsi="宋体" w:cs="Arial"/>
          <w:b/>
        </w:rPr>
        <w:t>5.4.9</w:t>
      </w:r>
      <w:r>
        <w:rPr>
          <w:rFonts w:ascii="宋体" w:hAnsi="宋体" w:cs="Arial"/>
          <w:b/>
        </w:rPr>
        <w:t>液压气动</w:t>
      </w:r>
    </w:p>
    <w:p w14:paraId="53642037">
      <w:pPr>
        <w:pStyle w:val="3"/>
        <w:spacing w:line="360" w:lineRule="auto"/>
        <w:ind w:left="840" w:leftChars="200" w:hanging="420" w:hangingChars="200"/>
        <w:rPr>
          <w:rFonts w:hint="eastAsia" w:ascii="宋体" w:hAnsi="宋体" w:cs="Arial"/>
          <w:szCs w:val="21"/>
        </w:rPr>
      </w:pPr>
      <w:r>
        <w:rPr>
          <w:rFonts w:ascii="宋体" w:hAnsi="宋体" w:cs="Arial"/>
          <w:szCs w:val="21"/>
        </w:rPr>
        <w:t>1）</w:t>
      </w:r>
      <w:r>
        <w:rPr>
          <w:rFonts w:hint="eastAsia" w:ascii="宋体" w:hAnsi="宋体" w:cs="Arial"/>
          <w:szCs w:val="21"/>
        </w:rPr>
        <w:t>液压系统主要件（如：泵、马达、电磁阀体等）采用国际知名品牌产品。</w:t>
      </w:r>
    </w:p>
    <w:p w14:paraId="4334B858">
      <w:pPr>
        <w:pStyle w:val="3"/>
        <w:spacing w:line="360" w:lineRule="auto"/>
        <w:ind w:left="840" w:leftChars="200" w:hanging="420" w:hangingChars="200"/>
        <w:rPr>
          <w:rFonts w:hint="eastAsia" w:ascii="宋体" w:hAnsi="宋体" w:cs="Arial"/>
          <w:szCs w:val="21"/>
        </w:rPr>
      </w:pPr>
      <w:r>
        <w:rPr>
          <w:rFonts w:ascii="宋体" w:hAnsi="宋体" w:cs="Arial"/>
          <w:szCs w:val="21"/>
        </w:rPr>
        <w:t>2）</w:t>
      </w:r>
      <w:r>
        <w:rPr>
          <w:rFonts w:hint="eastAsia" w:ascii="宋体" w:hAnsi="宋体" w:cs="Arial"/>
          <w:szCs w:val="21"/>
        </w:rPr>
        <w:t>液压系统所用液压油符合</w:t>
      </w:r>
      <w:r>
        <w:rPr>
          <w:rFonts w:ascii="宋体" w:hAnsi="宋体" w:cs="Arial"/>
          <w:szCs w:val="21"/>
        </w:rPr>
        <w:t>3</w:t>
      </w:r>
      <w:r>
        <w:rPr>
          <w:rFonts w:hint="eastAsia" w:ascii="宋体" w:hAnsi="宋体" w:cs="Arial"/>
          <w:szCs w:val="21"/>
        </w:rPr>
        <w:t>.1所列标准及CE标准，液压装置的设计符合CE噪音标准。</w:t>
      </w:r>
    </w:p>
    <w:p w14:paraId="5890E40E">
      <w:pPr>
        <w:pStyle w:val="3"/>
        <w:spacing w:line="360" w:lineRule="auto"/>
        <w:ind w:left="840" w:leftChars="200" w:hanging="420" w:hangingChars="200"/>
        <w:rPr>
          <w:rFonts w:hint="eastAsia" w:ascii="宋体" w:hAnsi="宋体" w:cs="Arial"/>
          <w:szCs w:val="21"/>
        </w:rPr>
      </w:pPr>
      <w:r>
        <w:rPr>
          <w:rFonts w:ascii="宋体" w:hAnsi="宋体" w:cs="Arial"/>
          <w:szCs w:val="21"/>
        </w:rPr>
        <w:t>3）</w:t>
      </w:r>
      <w:r>
        <w:rPr>
          <w:rFonts w:hint="eastAsia" w:ascii="宋体" w:hAnsi="宋体" w:cs="Arial"/>
          <w:szCs w:val="21"/>
        </w:rPr>
        <w:t>所有组件均易于维护与拆卸，所有故障都会通过CNC显示出来。</w:t>
      </w:r>
    </w:p>
    <w:p w14:paraId="4989CFFE">
      <w:pPr>
        <w:pStyle w:val="3"/>
        <w:spacing w:line="360" w:lineRule="auto"/>
        <w:ind w:left="840" w:leftChars="200" w:hanging="420" w:hangingChars="200"/>
        <w:rPr>
          <w:rFonts w:hint="eastAsia" w:ascii="宋体" w:hAnsi="宋体" w:cs="Arial"/>
          <w:szCs w:val="21"/>
        </w:rPr>
      </w:pPr>
      <w:r>
        <w:rPr>
          <w:rFonts w:ascii="宋体" w:hAnsi="宋体" w:cs="Arial"/>
          <w:szCs w:val="21"/>
        </w:rPr>
        <w:t>4）</w:t>
      </w:r>
      <w:r>
        <w:rPr>
          <w:rFonts w:hint="eastAsia" w:ascii="宋体" w:hAnsi="宋体" w:cs="Arial"/>
          <w:szCs w:val="21"/>
        </w:rPr>
        <w:t>如果供货机床需要气压驱动，空压机等成套设备由</w:t>
      </w:r>
      <w:r>
        <w:rPr>
          <w:rFonts w:hint="eastAsia" w:ascii="宋体" w:hAnsi="宋体" w:cs="Arial"/>
          <w:szCs w:val="21"/>
          <w:lang w:eastAsia="zh-CN"/>
        </w:rPr>
        <w:t>供应商</w:t>
      </w:r>
      <w:r>
        <w:rPr>
          <w:rFonts w:hint="eastAsia" w:ascii="宋体" w:hAnsi="宋体" w:cs="Arial"/>
          <w:szCs w:val="21"/>
        </w:rPr>
        <w:t>随数控不落轮镟床一并提供，并要求采用螺杆式压缩机，提供主要技术参数</w:t>
      </w:r>
      <w:r>
        <w:rPr>
          <w:rFonts w:ascii="宋体" w:hAnsi="宋体" w:cs="Arial"/>
          <w:szCs w:val="21"/>
        </w:rPr>
        <w:t>。</w:t>
      </w:r>
    </w:p>
    <w:p w14:paraId="46FD141F">
      <w:pPr>
        <w:tabs>
          <w:tab w:val="left" w:pos="1004"/>
        </w:tabs>
        <w:rPr>
          <w:rFonts w:hint="eastAsia" w:ascii="宋体" w:hAnsi="宋体" w:cs="Arial"/>
          <w:b/>
        </w:rPr>
      </w:pPr>
      <w:r>
        <w:rPr>
          <w:rFonts w:hint="eastAsia" w:ascii="宋体" w:hAnsi="宋体" w:cs="Arial"/>
          <w:b/>
        </w:rPr>
        <w:t>5.4.10控制系统</w:t>
      </w:r>
    </w:p>
    <w:p w14:paraId="75F9C2B9">
      <w:pPr>
        <w:pStyle w:val="3"/>
        <w:spacing w:line="360" w:lineRule="auto"/>
        <w:ind w:firstLine="0"/>
        <w:rPr>
          <w:rFonts w:hint="eastAsia" w:ascii="宋体" w:hAnsi="宋体" w:cs="Arial"/>
          <w:szCs w:val="21"/>
        </w:rPr>
      </w:pPr>
      <w:r>
        <w:rPr>
          <w:rFonts w:hint="eastAsia" w:ascii="宋体" w:hAnsi="宋体" w:cs="Arial"/>
          <w:szCs w:val="21"/>
        </w:rPr>
        <w:t>※5.4.10.1控制系统采用不低于西门子840DE及同档次国际知名品牌产品，带有中文显示。</w:t>
      </w:r>
    </w:p>
    <w:p w14:paraId="09B02EC4">
      <w:pPr>
        <w:pStyle w:val="3"/>
        <w:spacing w:line="360" w:lineRule="auto"/>
        <w:ind w:firstLine="0"/>
        <w:rPr>
          <w:rFonts w:hint="eastAsia" w:ascii="宋体" w:hAnsi="宋体" w:cs="Arial"/>
          <w:szCs w:val="21"/>
        </w:rPr>
      </w:pPr>
      <w:r>
        <w:rPr>
          <w:rFonts w:hint="eastAsia" w:ascii="宋体" w:hAnsi="宋体" w:cs="Arial"/>
          <w:szCs w:val="21"/>
        </w:rPr>
        <w:t>5.4.10.2配置手持控制单元，用于机床进给轴的手动操作及机床调试维修时使用。</w:t>
      </w:r>
    </w:p>
    <w:p w14:paraId="46FEDCE9">
      <w:pPr>
        <w:pStyle w:val="3"/>
        <w:widowControl/>
        <w:numPr>
          <w:ilvl w:val="1"/>
          <w:numId w:val="17"/>
        </w:numPr>
        <w:tabs>
          <w:tab w:val="left" w:pos="1004"/>
        </w:tabs>
        <w:spacing w:line="360" w:lineRule="auto"/>
        <w:ind w:left="899" w:leftChars="428" w:firstLine="1"/>
        <w:jc w:val="left"/>
        <w:rPr>
          <w:rFonts w:hint="eastAsia" w:ascii="宋体" w:hAnsi="宋体" w:cs="Arial"/>
          <w:szCs w:val="21"/>
        </w:rPr>
      </w:pPr>
      <w:r>
        <w:rPr>
          <w:rFonts w:hint="eastAsia" w:ascii="宋体" w:hAnsi="宋体" w:cs="Arial"/>
          <w:szCs w:val="21"/>
        </w:rPr>
        <w:t>PLC采用国际知名品牌产品。CPU不低于315-2配置。</w:t>
      </w:r>
    </w:p>
    <w:p w14:paraId="3A6DA9F7">
      <w:pPr>
        <w:pStyle w:val="3"/>
        <w:widowControl/>
        <w:numPr>
          <w:ilvl w:val="1"/>
          <w:numId w:val="17"/>
        </w:numPr>
        <w:tabs>
          <w:tab w:val="left" w:pos="1004"/>
        </w:tabs>
        <w:spacing w:line="360" w:lineRule="auto"/>
        <w:ind w:left="899" w:leftChars="428" w:firstLine="1"/>
        <w:jc w:val="left"/>
        <w:rPr>
          <w:rFonts w:hint="eastAsia" w:ascii="宋体" w:hAnsi="宋体" w:cs="Arial"/>
          <w:szCs w:val="21"/>
        </w:rPr>
      </w:pPr>
      <w:r>
        <w:rPr>
          <w:rFonts w:ascii="宋体" w:hAnsi="宋体" w:cs="Arial"/>
          <w:szCs w:val="21"/>
        </w:rPr>
        <w:t>伺服驱动系统</w:t>
      </w:r>
      <w:r>
        <w:rPr>
          <w:rFonts w:hint="eastAsia" w:ascii="宋体" w:hAnsi="宋体" w:cs="Arial"/>
          <w:szCs w:val="21"/>
        </w:rPr>
        <w:tab/>
      </w:r>
    </w:p>
    <w:p w14:paraId="1C1E41F9">
      <w:pPr>
        <w:pStyle w:val="5"/>
        <w:adjustRightInd w:val="0"/>
        <w:snapToGrid w:val="0"/>
        <w:ind w:left="899" w:leftChars="428" w:firstLine="420" w:firstLineChars="200"/>
        <w:rPr>
          <w:rFonts w:hint="eastAsia" w:cs="Arial"/>
          <w:sz w:val="21"/>
          <w:szCs w:val="21"/>
        </w:rPr>
      </w:pPr>
      <w:r>
        <w:rPr>
          <w:rFonts w:cs="Arial"/>
          <w:sz w:val="21"/>
          <w:szCs w:val="21"/>
        </w:rPr>
        <w:t>采用国际知名品牌全数字式交流伺服系统和全数字式交流伺服电机的配置</w:t>
      </w:r>
      <w:r>
        <w:rPr>
          <w:rFonts w:hint="eastAsia" w:cs="Arial"/>
          <w:sz w:val="21"/>
          <w:szCs w:val="21"/>
        </w:rPr>
        <w:t>。</w:t>
      </w:r>
    </w:p>
    <w:p w14:paraId="4FD5ADBF">
      <w:pPr>
        <w:pStyle w:val="3"/>
        <w:widowControl/>
        <w:numPr>
          <w:ilvl w:val="1"/>
          <w:numId w:val="17"/>
        </w:numPr>
        <w:tabs>
          <w:tab w:val="left" w:pos="1004"/>
        </w:tabs>
        <w:spacing w:line="360" w:lineRule="auto"/>
        <w:ind w:left="899" w:leftChars="428" w:firstLine="1"/>
        <w:jc w:val="left"/>
        <w:rPr>
          <w:rFonts w:hint="eastAsia" w:ascii="宋体" w:hAnsi="宋体" w:cs="Arial"/>
          <w:szCs w:val="21"/>
        </w:rPr>
      </w:pPr>
      <w:r>
        <w:rPr>
          <w:rFonts w:ascii="宋体" w:hAnsi="宋体" w:cs="Arial"/>
          <w:szCs w:val="21"/>
        </w:rPr>
        <w:t>MMC系统</w:t>
      </w:r>
    </w:p>
    <w:p w14:paraId="53774C61">
      <w:pPr>
        <w:pStyle w:val="5"/>
        <w:adjustRightInd w:val="0"/>
        <w:snapToGrid w:val="0"/>
        <w:ind w:left="1319" w:leftChars="628"/>
        <w:rPr>
          <w:rFonts w:hint="eastAsia" w:cs="Arial"/>
          <w:sz w:val="21"/>
          <w:szCs w:val="21"/>
        </w:rPr>
      </w:pPr>
      <w:r>
        <w:rPr>
          <w:rFonts w:cs="Arial"/>
          <w:sz w:val="21"/>
          <w:szCs w:val="21"/>
        </w:rPr>
        <w:t>人机通讯（MMC）单元使操作者实现了人机交互控制，并执行必要的计算（测量数据的处理、轮廓和切削数据的处理等）。</w:t>
      </w:r>
    </w:p>
    <w:p w14:paraId="22BA16D5">
      <w:pPr>
        <w:pStyle w:val="5"/>
        <w:adjustRightInd w:val="0"/>
        <w:snapToGrid w:val="0"/>
        <w:ind w:left="1319" w:leftChars="628"/>
        <w:rPr>
          <w:rFonts w:hint="eastAsia" w:cs="Arial"/>
          <w:sz w:val="21"/>
          <w:szCs w:val="21"/>
        </w:rPr>
      </w:pPr>
      <w:r>
        <w:rPr>
          <w:rFonts w:cs="Arial"/>
          <w:sz w:val="21"/>
          <w:szCs w:val="21"/>
        </w:rPr>
        <w:t>在显示器单元上配置有通讯组件通讯组件通过接口分别与键盘、打印机及NCU相连。</w:t>
      </w:r>
      <w:r>
        <w:rPr>
          <w:rFonts w:hint="eastAsia" w:cs="Arial"/>
          <w:sz w:val="21"/>
          <w:szCs w:val="21"/>
        </w:rPr>
        <w:t>存储数据可上传至检修维护系统。</w:t>
      </w:r>
    </w:p>
    <w:p w14:paraId="580AAAF1">
      <w:pPr>
        <w:pStyle w:val="3"/>
        <w:spacing w:line="360" w:lineRule="auto"/>
        <w:ind w:firstLine="0"/>
        <w:rPr>
          <w:rFonts w:hint="eastAsia" w:ascii="宋体" w:hAnsi="宋体" w:cs="Arial"/>
          <w:szCs w:val="21"/>
        </w:rPr>
      </w:pPr>
      <w:r>
        <w:rPr>
          <w:rFonts w:hint="eastAsia" w:ascii="宋体" w:hAnsi="宋体" w:cs="Arial"/>
          <w:szCs w:val="21"/>
        </w:rPr>
        <w:t>5.4.10.3</w:t>
      </w:r>
      <w:r>
        <w:rPr>
          <w:rFonts w:ascii="宋体" w:hAnsi="宋体" w:cs="Arial"/>
          <w:szCs w:val="21"/>
        </w:rPr>
        <w:t>计算机软件及程序</w:t>
      </w:r>
    </w:p>
    <w:p w14:paraId="2C4CB6EB">
      <w:pPr>
        <w:pStyle w:val="3"/>
        <w:spacing w:line="360" w:lineRule="auto"/>
        <w:ind w:left="840" w:leftChars="200" w:hanging="420" w:hangingChars="200"/>
        <w:rPr>
          <w:rFonts w:hint="eastAsia" w:ascii="宋体" w:hAnsi="宋体" w:cs="Arial"/>
          <w:szCs w:val="21"/>
        </w:rPr>
      </w:pPr>
      <w:r>
        <w:rPr>
          <w:rFonts w:ascii="宋体" w:hAnsi="宋体" w:cs="Arial"/>
          <w:szCs w:val="21"/>
        </w:rPr>
        <w:t>1）在数控系统中配有与NCU相对应的系统软件、OEM软件包、附加通道软件及附加方式组软件。为了编程方便还配置有工具盒软件及组态软件。所有软件版本均为西门子公司现行最新软件版本（CNC和PLC5.0以上，伺服驱动4.0以上）。如采用其他公司产品，仍需采用最新软件版本。</w:t>
      </w:r>
    </w:p>
    <w:p w14:paraId="16122745">
      <w:pPr>
        <w:pStyle w:val="3"/>
        <w:spacing w:line="360" w:lineRule="auto"/>
        <w:ind w:left="840" w:leftChars="200" w:hanging="420" w:hangingChars="200"/>
        <w:rPr>
          <w:rFonts w:hint="eastAsia" w:ascii="宋体" w:hAnsi="宋体" w:cs="Arial"/>
          <w:szCs w:val="21"/>
        </w:rPr>
      </w:pPr>
      <w:r>
        <w:rPr>
          <w:rFonts w:ascii="宋体" w:hAnsi="宋体" w:cs="Arial"/>
          <w:szCs w:val="21"/>
        </w:rPr>
        <w:t>2）</w:t>
      </w:r>
      <w:r>
        <w:rPr>
          <w:rFonts w:hint="eastAsia" w:ascii="宋体" w:hAnsi="宋体" w:cs="Arial"/>
          <w:szCs w:val="21"/>
          <w:lang w:eastAsia="zh-CN"/>
        </w:rPr>
        <w:t>供应商</w:t>
      </w:r>
      <w:r>
        <w:rPr>
          <w:rFonts w:ascii="宋体" w:hAnsi="宋体" w:cs="Arial"/>
          <w:szCs w:val="21"/>
        </w:rPr>
        <w:t>提供给用户的CNC程序主要有（但不限于）：测量主程序、计算主程序、（测量+计算）主程序、加工主程序、（测量+计算+加工）主程序、手动切削程序、断刀退回主程序等。主程序中设计有子程序库，每个子程序可以被不同的主程序调用。</w:t>
      </w:r>
    </w:p>
    <w:p w14:paraId="517949FF">
      <w:pPr>
        <w:pStyle w:val="3"/>
        <w:spacing w:line="360" w:lineRule="auto"/>
        <w:ind w:left="840" w:leftChars="200" w:hanging="420" w:hangingChars="200"/>
        <w:rPr>
          <w:rFonts w:hint="eastAsia" w:ascii="宋体" w:hAnsi="宋体" w:cs="Arial"/>
          <w:szCs w:val="21"/>
        </w:rPr>
      </w:pPr>
      <w:r>
        <w:rPr>
          <w:rFonts w:ascii="宋体" w:hAnsi="宋体" w:cs="Arial"/>
          <w:szCs w:val="21"/>
        </w:rPr>
        <w:t>3）</w:t>
      </w:r>
      <w:r>
        <w:rPr>
          <w:rFonts w:hint="eastAsia" w:ascii="宋体" w:hAnsi="宋体" w:cs="Arial"/>
          <w:szCs w:val="21"/>
          <w:lang w:eastAsia="zh-CN"/>
        </w:rPr>
        <w:t>供应商</w:t>
      </w:r>
      <w:r>
        <w:rPr>
          <w:rFonts w:ascii="宋体" w:hAnsi="宋体" w:cs="Arial"/>
          <w:szCs w:val="21"/>
        </w:rPr>
        <w:t>提供给用户的PLC程序主要有（但不限于）：液压泵电机控制程序、活动轨道控制程序、双滚轮摩擦轮架控制程序、外轴箱支撑控制程序、轮对轴向自动定心控制程序、主电动机控制程序、轴箱压下装置控制程序、进给轴控制程序、测量控制程序等。</w:t>
      </w:r>
    </w:p>
    <w:p w14:paraId="3518A3DD">
      <w:pPr>
        <w:pStyle w:val="3"/>
        <w:spacing w:line="360" w:lineRule="auto"/>
        <w:ind w:left="840" w:leftChars="200" w:hanging="420" w:hangingChars="200"/>
        <w:rPr>
          <w:rFonts w:hint="eastAsia" w:ascii="宋体" w:hAnsi="宋体" w:cs="Arial"/>
          <w:szCs w:val="21"/>
        </w:rPr>
      </w:pPr>
      <w:r>
        <w:rPr>
          <w:rFonts w:ascii="宋体" w:hAnsi="宋体" w:cs="Arial"/>
          <w:szCs w:val="21"/>
        </w:rPr>
        <w:t>4）提供中文/英文的屏幕文本。</w:t>
      </w:r>
    </w:p>
    <w:p w14:paraId="0D53222A">
      <w:pPr>
        <w:pStyle w:val="3"/>
        <w:spacing w:line="360" w:lineRule="auto"/>
        <w:ind w:left="840" w:leftChars="200" w:hanging="420" w:hangingChars="200"/>
        <w:rPr>
          <w:rFonts w:hint="eastAsia" w:ascii="宋体" w:hAnsi="宋体" w:cs="Arial"/>
          <w:szCs w:val="21"/>
        </w:rPr>
      </w:pPr>
      <w:r>
        <w:rPr>
          <w:rFonts w:ascii="宋体" w:hAnsi="宋体" w:cs="Arial"/>
          <w:szCs w:val="21"/>
        </w:rPr>
        <w:t>5）具有各种车轮轮廓曲线的编程功能（廓形的写入）。具有等级镟修功能（即同一轮对可选择加工轮缘厚度分别为26mm、28mm、30mm、32mm）。提供更改车轮轮廓用的硬件和软件，配套提供包括CNC刀座控制的编程。采用质量优越的国际知名品牌数控系统可实现对车轮廓形进行编程并利用图形模拟功能进行加工结果控制。控制系统带有一个能对程序进行修改的几何处理器，能方便的对新车轮廓形进行编程。</w:t>
      </w:r>
    </w:p>
    <w:p w14:paraId="495266AC">
      <w:pPr>
        <w:pStyle w:val="3"/>
        <w:spacing w:line="360" w:lineRule="auto"/>
        <w:ind w:left="840" w:leftChars="200" w:hanging="420" w:hangingChars="200"/>
        <w:rPr>
          <w:rFonts w:hint="eastAsia" w:ascii="宋体" w:hAnsi="宋体" w:cs="Arial"/>
          <w:szCs w:val="21"/>
        </w:rPr>
      </w:pPr>
      <w:r>
        <w:rPr>
          <w:rFonts w:ascii="宋体" w:hAnsi="宋体" w:cs="Arial"/>
          <w:szCs w:val="21"/>
        </w:rPr>
        <w:t>6）所有程序保存在磁盘里，可由磁盘驱动器（配套提供）读入控制系统。</w:t>
      </w:r>
    </w:p>
    <w:p w14:paraId="79399DE9">
      <w:pPr>
        <w:pStyle w:val="3"/>
        <w:spacing w:line="360" w:lineRule="auto"/>
        <w:ind w:left="840" w:leftChars="200" w:hanging="420" w:hangingChars="200"/>
        <w:rPr>
          <w:rFonts w:hint="eastAsia" w:ascii="宋体" w:hAnsi="宋体" w:cs="Arial"/>
          <w:szCs w:val="21"/>
        </w:rPr>
      </w:pPr>
      <w:r>
        <w:rPr>
          <w:rFonts w:ascii="宋体" w:hAnsi="宋体" w:cs="Arial"/>
          <w:szCs w:val="21"/>
        </w:rPr>
        <w:t>7）控制系统具有离线程序修改、编辑、复制功能。</w:t>
      </w:r>
    </w:p>
    <w:p w14:paraId="326BF426">
      <w:pPr>
        <w:pStyle w:val="3"/>
        <w:spacing w:line="360" w:lineRule="auto"/>
        <w:ind w:left="840" w:leftChars="200" w:hanging="420" w:hangingChars="200"/>
        <w:rPr>
          <w:rFonts w:hint="eastAsia" w:ascii="宋体" w:hAnsi="宋体" w:cs="Arial"/>
          <w:szCs w:val="21"/>
        </w:rPr>
      </w:pPr>
      <w:r>
        <w:rPr>
          <w:rFonts w:ascii="宋体" w:hAnsi="宋体" w:cs="Arial"/>
          <w:szCs w:val="21"/>
        </w:rPr>
        <w:t>8）具有刀具磨损自动补偿的程序控制。</w:t>
      </w:r>
    </w:p>
    <w:p w14:paraId="72821D0F">
      <w:pPr>
        <w:pStyle w:val="3"/>
        <w:spacing w:line="360" w:lineRule="auto"/>
        <w:ind w:left="840" w:leftChars="200" w:hanging="420" w:hangingChars="200"/>
        <w:rPr>
          <w:rFonts w:hint="eastAsia" w:ascii="宋体" w:hAnsi="宋体" w:cs="Arial"/>
          <w:szCs w:val="21"/>
        </w:rPr>
      </w:pPr>
      <w:r>
        <w:rPr>
          <w:rFonts w:ascii="宋体" w:hAnsi="宋体" w:cs="Arial"/>
          <w:szCs w:val="21"/>
        </w:rPr>
        <w:t>9）</w:t>
      </w:r>
      <w:r>
        <w:rPr>
          <w:rFonts w:hint="eastAsia" w:ascii="宋体" w:hAnsi="宋体" w:cs="Arial"/>
          <w:szCs w:val="21"/>
          <w:lang w:eastAsia="zh-CN"/>
        </w:rPr>
        <w:t>供应商</w:t>
      </w:r>
      <w:r>
        <w:rPr>
          <w:rFonts w:ascii="宋体" w:hAnsi="宋体" w:cs="Arial"/>
          <w:szCs w:val="21"/>
        </w:rPr>
        <w:t>应说明使用的计算机软件的名称与版本，并分别列出加密或不加密的计算机软件的清单；所有软件</w:t>
      </w:r>
      <w:r>
        <w:rPr>
          <w:rFonts w:hint="eastAsia" w:ascii="宋体" w:hAnsi="宋体" w:cs="Arial"/>
          <w:szCs w:val="21"/>
          <w:lang w:eastAsia="zh-CN"/>
        </w:rPr>
        <w:t>供应商</w:t>
      </w:r>
      <w:r>
        <w:rPr>
          <w:rFonts w:ascii="宋体" w:hAnsi="宋体" w:cs="Arial"/>
          <w:szCs w:val="21"/>
        </w:rPr>
        <w:t>提供终身免费维修、更新和升级服务，车轮轮廓曲线若不能满足招标人加工需求，</w:t>
      </w:r>
      <w:r>
        <w:rPr>
          <w:rFonts w:hint="eastAsia" w:ascii="宋体" w:hAnsi="宋体" w:cs="Arial"/>
          <w:szCs w:val="21"/>
          <w:lang w:eastAsia="zh-CN"/>
        </w:rPr>
        <w:t>供应商</w:t>
      </w:r>
      <w:r>
        <w:rPr>
          <w:rFonts w:ascii="宋体" w:hAnsi="宋体" w:cs="Arial"/>
          <w:szCs w:val="21"/>
        </w:rPr>
        <w:t>须免费提供编程服务并安装到系统中。</w:t>
      </w:r>
    </w:p>
    <w:p w14:paraId="04A1BEB1">
      <w:pPr>
        <w:pStyle w:val="3"/>
        <w:spacing w:line="360" w:lineRule="auto"/>
        <w:ind w:left="840" w:leftChars="200" w:hanging="420" w:hangingChars="200"/>
        <w:rPr>
          <w:rFonts w:hint="eastAsia" w:ascii="宋体" w:hAnsi="宋体" w:cs="Arial"/>
          <w:szCs w:val="21"/>
        </w:rPr>
      </w:pPr>
      <w:r>
        <w:rPr>
          <w:rFonts w:hint="eastAsia" w:ascii="宋体" w:hAnsi="宋体" w:cs="Arial"/>
          <w:szCs w:val="21"/>
        </w:rPr>
        <w:t>10）</w:t>
      </w:r>
      <w:r>
        <w:rPr>
          <w:rFonts w:hint="eastAsia" w:ascii="宋体" w:hAnsi="宋体" w:cs="Arial"/>
          <w:szCs w:val="21"/>
          <w:lang w:eastAsia="zh-CN"/>
        </w:rPr>
        <w:t>供应商</w:t>
      </w:r>
      <w:r>
        <w:rPr>
          <w:rFonts w:ascii="宋体" w:hAnsi="宋体" w:cs="Arial"/>
          <w:szCs w:val="21"/>
        </w:rPr>
        <w:t>应提供整套计算机程序，包括控制程序、数控编程软件，以及编写、修改、编译控制程序的软件等。</w:t>
      </w:r>
    </w:p>
    <w:p w14:paraId="4C1D31B1">
      <w:pPr>
        <w:pStyle w:val="3"/>
        <w:spacing w:line="360" w:lineRule="auto"/>
        <w:ind w:left="840" w:leftChars="200" w:hanging="420" w:hangingChars="200"/>
        <w:rPr>
          <w:rFonts w:hint="eastAsia" w:ascii="宋体" w:hAnsi="宋体" w:cs="Arial"/>
          <w:szCs w:val="21"/>
        </w:rPr>
      </w:pPr>
      <w:r>
        <w:rPr>
          <w:rFonts w:ascii="宋体" w:hAnsi="宋体" w:cs="Arial"/>
          <w:szCs w:val="21"/>
        </w:rPr>
        <w:t>1</w:t>
      </w:r>
      <w:r>
        <w:rPr>
          <w:rFonts w:hint="eastAsia" w:ascii="宋体" w:hAnsi="宋体" w:cs="Arial"/>
          <w:szCs w:val="21"/>
        </w:rPr>
        <w:t>1</w:t>
      </w:r>
      <w:r>
        <w:rPr>
          <w:rFonts w:ascii="宋体" w:hAnsi="宋体" w:cs="Arial"/>
          <w:szCs w:val="21"/>
        </w:rPr>
        <w:t>）提供存有调试后完整的机床程序备份用作系统修复之用。</w:t>
      </w:r>
    </w:p>
    <w:p w14:paraId="17081F48">
      <w:pPr>
        <w:pStyle w:val="3"/>
        <w:spacing w:line="360" w:lineRule="auto"/>
        <w:ind w:left="840" w:leftChars="200" w:hanging="420" w:hangingChars="200"/>
        <w:rPr>
          <w:rFonts w:hint="eastAsia" w:ascii="宋体" w:hAnsi="宋体" w:cs="Arial"/>
          <w:szCs w:val="21"/>
        </w:rPr>
      </w:pPr>
      <w:r>
        <w:rPr>
          <w:rFonts w:ascii="宋体" w:hAnsi="宋体" w:cs="Arial"/>
          <w:szCs w:val="21"/>
        </w:rPr>
        <w:t>1</w:t>
      </w:r>
      <w:r>
        <w:rPr>
          <w:rFonts w:hint="eastAsia" w:ascii="宋体" w:hAnsi="宋体" w:cs="Arial"/>
          <w:szCs w:val="21"/>
        </w:rPr>
        <w:t>2</w:t>
      </w:r>
      <w:r>
        <w:rPr>
          <w:rFonts w:ascii="宋体" w:hAnsi="宋体" w:cs="Arial"/>
          <w:szCs w:val="21"/>
        </w:rPr>
        <w:t>）所有程序文本在机床出厂时按合同文件的规定交付给用户。</w:t>
      </w:r>
    </w:p>
    <w:p w14:paraId="2DA4C7AD">
      <w:pPr>
        <w:pStyle w:val="3"/>
        <w:spacing w:line="360" w:lineRule="auto"/>
        <w:ind w:left="840" w:leftChars="200" w:hanging="420" w:hangingChars="200"/>
        <w:rPr>
          <w:rFonts w:hint="eastAsia" w:ascii="宋体" w:hAnsi="宋体" w:cs="Arial"/>
          <w:szCs w:val="21"/>
        </w:rPr>
      </w:pPr>
      <w:r>
        <w:rPr>
          <w:rFonts w:ascii="宋体" w:hAnsi="宋体" w:cs="Arial"/>
          <w:szCs w:val="21"/>
        </w:rPr>
        <w:t>1</w:t>
      </w:r>
      <w:r>
        <w:rPr>
          <w:rFonts w:hint="eastAsia" w:ascii="宋体" w:hAnsi="宋体" w:cs="Arial"/>
          <w:szCs w:val="21"/>
        </w:rPr>
        <w:t>3</w:t>
      </w:r>
      <w:r>
        <w:rPr>
          <w:rFonts w:ascii="宋体" w:hAnsi="宋体" w:cs="Arial"/>
          <w:szCs w:val="21"/>
        </w:rPr>
        <w:t>）</w:t>
      </w:r>
      <w:r>
        <w:rPr>
          <w:rFonts w:hint="eastAsia" w:ascii="宋体" w:hAnsi="宋体" w:cs="Arial"/>
          <w:szCs w:val="21"/>
          <w:lang w:eastAsia="zh-CN"/>
        </w:rPr>
        <w:t>供应商</w:t>
      </w:r>
      <w:r>
        <w:rPr>
          <w:rFonts w:ascii="宋体" w:hAnsi="宋体" w:cs="Arial"/>
          <w:szCs w:val="21"/>
        </w:rPr>
        <w:t>每台套数控不落轮机床配备国内或国际知名品牌的笔记本电脑1台和打印机1台，用于编程、作业记录下载、故障诊断，并安装配套的编程、诊断软件。</w:t>
      </w:r>
    </w:p>
    <w:p w14:paraId="258D0C5E">
      <w:pPr>
        <w:pStyle w:val="3"/>
        <w:spacing w:line="360" w:lineRule="auto"/>
        <w:ind w:firstLine="0"/>
        <w:rPr>
          <w:rFonts w:hint="eastAsia" w:ascii="宋体" w:hAnsi="宋体" w:cs="Arial"/>
          <w:szCs w:val="21"/>
        </w:rPr>
      </w:pPr>
      <w:r>
        <w:rPr>
          <w:rFonts w:hint="eastAsia" w:ascii="宋体" w:hAnsi="宋体" w:cs="Arial"/>
          <w:szCs w:val="21"/>
        </w:rPr>
        <w:t>5.4.10.4</w:t>
      </w:r>
      <w:r>
        <w:rPr>
          <w:rFonts w:ascii="宋体" w:hAnsi="宋体" w:cs="Arial"/>
          <w:szCs w:val="21"/>
        </w:rPr>
        <w:t>控制操纵台器和输入/输出、操作界面系统</w:t>
      </w:r>
    </w:p>
    <w:p w14:paraId="2F2047CB">
      <w:pPr>
        <w:pStyle w:val="5"/>
        <w:adjustRightInd w:val="0"/>
        <w:snapToGrid w:val="0"/>
        <w:ind w:left="922" w:leftChars="169" w:hanging="567" w:hangingChars="270"/>
        <w:rPr>
          <w:rFonts w:hint="eastAsia" w:cs="Arial"/>
          <w:sz w:val="21"/>
          <w:szCs w:val="21"/>
        </w:rPr>
      </w:pPr>
      <w:r>
        <w:rPr>
          <w:rFonts w:cs="Arial"/>
          <w:sz w:val="21"/>
          <w:szCs w:val="21"/>
        </w:rPr>
        <w:t>1）控制操作台由一名操作员操控。控制操作台的位置设置要方便操作，且可适当调整位置。主控制面板连同显示器、数控系统及数控系统的键盘均安装在一个电箱内。此外还设置有用于辅助功能的手动操作以及机床手动操作的辅助控制台。</w:t>
      </w:r>
    </w:p>
    <w:p w14:paraId="046F01D4">
      <w:pPr>
        <w:pStyle w:val="5"/>
        <w:adjustRightInd w:val="0"/>
        <w:snapToGrid w:val="0"/>
        <w:ind w:left="922" w:leftChars="169" w:hanging="567" w:hangingChars="270"/>
        <w:rPr>
          <w:rFonts w:hint="eastAsia" w:cs="Arial"/>
          <w:sz w:val="21"/>
          <w:szCs w:val="21"/>
        </w:rPr>
      </w:pPr>
      <w:r>
        <w:rPr>
          <w:rFonts w:cs="Arial"/>
          <w:sz w:val="21"/>
          <w:szCs w:val="21"/>
        </w:rPr>
        <w:t>2）机床提供两种操作模式：自动模式和手动模式。</w:t>
      </w:r>
    </w:p>
    <w:p w14:paraId="31A5D5A4">
      <w:pPr>
        <w:pStyle w:val="5"/>
        <w:adjustRightInd w:val="0"/>
        <w:snapToGrid w:val="0"/>
        <w:ind w:left="922" w:leftChars="169" w:hanging="567" w:hangingChars="270"/>
        <w:rPr>
          <w:rFonts w:hint="eastAsia" w:cs="Arial"/>
          <w:sz w:val="21"/>
          <w:szCs w:val="21"/>
        </w:rPr>
      </w:pPr>
      <w:r>
        <w:rPr>
          <w:rFonts w:cs="Arial"/>
          <w:sz w:val="21"/>
          <w:szCs w:val="21"/>
        </w:rPr>
        <w:t>3）中央控制器集成了CNC控制系统的操作元件、加工数据输入操作部件和辅助功能部件。设备包括（但不限于）：</w:t>
      </w:r>
    </w:p>
    <w:p w14:paraId="4201D430">
      <w:pPr>
        <w:numPr>
          <w:ilvl w:val="1"/>
          <w:numId w:val="17"/>
        </w:numPr>
        <w:adjustRightInd w:val="0"/>
        <w:snapToGrid w:val="0"/>
        <w:spacing w:line="360" w:lineRule="auto"/>
        <w:rPr>
          <w:rFonts w:hint="eastAsia" w:ascii="宋体" w:hAnsi="宋体" w:cs="Arial"/>
        </w:rPr>
      </w:pPr>
      <w:r>
        <w:rPr>
          <w:rFonts w:ascii="宋体" w:hAnsi="宋体" w:cs="Arial"/>
        </w:rPr>
        <w:t>提供操作员与机床控制系统间的人机界面</w:t>
      </w:r>
    </w:p>
    <w:p w14:paraId="5B360695">
      <w:pPr>
        <w:numPr>
          <w:ilvl w:val="1"/>
          <w:numId w:val="17"/>
        </w:numPr>
        <w:adjustRightInd w:val="0"/>
        <w:snapToGrid w:val="0"/>
        <w:spacing w:line="360" w:lineRule="auto"/>
        <w:rPr>
          <w:rFonts w:hint="eastAsia" w:ascii="宋体" w:hAnsi="宋体" w:cs="Arial"/>
        </w:rPr>
      </w:pPr>
      <w:r>
        <w:rPr>
          <w:rFonts w:ascii="宋体" w:hAnsi="宋体" w:cs="Arial"/>
        </w:rPr>
        <w:t>带屏幕的CNC控制系统的控制器</w:t>
      </w:r>
    </w:p>
    <w:p w14:paraId="42A77777">
      <w:pPr>
        <w:numPr>
          <w:ilvl w:val="1"/>
          <w:numId w:val="17"/>
        </w:numPr>
        <w:adjustRightInd w:val="0"/>
        <w:snapToGrid w:val="0"/>
        <w:spacing w:line="360" w:lineRule="auto"/>
        <w:rPr>
          <w:rFonts w:hint="eastAsia" w:ascii="宋体" w:hAnsi="宋体" w:cs="Arial"/>
        </w:rPr>
      </w:pPr>
      <w:r>
        <w:rPr>
          <w:rFonts w:ascii="宋体" w:hAnsi="宋体" w:cs="Arial"/>
        </w:rPr>
        <w:t>必要的操作部件、指示灯和显示仪器</w:t>
      </w:r>
    </w:p>
    <w:p w14:paraId="2D9EFB4E">
      <w:pPr>
        <w:numPr>
          <w:ilvl w:val="1"/>
          <w:numId w:val="17"/>
        </w:numPr>
        <w:adjustRightInd w:val="0"/>
        <w:snapToGrid w:val="0"/>
        <w:spacing w:line="360" w:lineRule="auto"/>
        <w:rPr>
          <w:rFonts w:hint="eastAsia" w:ascii="宋体" w:hAnsi="宋体" w:cs="Arial"/>
        </w:rPr>
      </w:pPr>
      <w:r>
        <w:rPr>
          <w:rFonts w:ascii="宋体" w:hAnsi="宋体" w:cs="Arial"/>
        </w:rPr>
        <w:t>轮对在机床上定位、对中设备的辅助控制器</w:t>
      </w:r>
    </w:p>
    <w:p w14:paraId="471BA877">
      <w:pPr>
        <w:numPr>
          <w:ilvl w:val="1"/>
          <w:numId w:val="17"/>
        </w:numPr>
        <w:adjustRightInd w:val="0"/>
        <w:snapToGrid w:val="0"/>
        <w:spacing w:line="360" w:lineRule="auto"/>
        <w:rPr>
          <w:rFonts w:hint="eastAsia" w:ascii="宋体" w:hAnsi="宋体" w:cs="Arial"/>
        </w:rPr>
      </w:pPr>
      <w:r>
        <w:rPr>
          <w:rFonts w:ascii="宋体" w:hAnsi="宋体" w:cs="Arial"/>
        </w:rPr>
        <w:t>显示器以图像及文字显示所有操作状态及故障状态</w:t>
      </w:r>
    </w:p>
    <w:p w14:paraId="0B1AC1DD">
      <w:pPr>
        <w:numPr>
          <w:ilvl w:val="1"/>
          <w:numId w:val="17"/>
        </w:numPr>
        <w:adjustRightInd w:val="0"/>
        <w:snapToGrid w:val="0"/>
        <w:spacing w:line="360" w:lineRule="auto"/>
        <w:rPr>
          <w:rFonts w:hint="eastAsia" w:ascii="宋体" w:hAnsi="宋体" w:cs="Arial"/>
        </w:rPr>
      </w:pPr>
      <w:r>
        <w:rPr>
          <w:rFonts w:ascii="宋体" w:hAnsi="宋体" w:cs="Arial"/>
        </w:rPr>
        <w:t>紧急停机按钮</w:t>
      </w:r>
    </w:p>
    <w:p w14:paraId="1C8BEC97">
      <w:pPr>
        <w:numPr>
          <w:ilvl w:val="1"/>
          <w:numId w:val="17"/>
        </w:numPr>
        <w:adjustRightInd w:val="0"/>
        <w:snapToGrid w:val="0"/>
        <w:spacing w:line="360" w:lineRule="auto"/>
        <w:rPr>
          <w:rFonts w:hint="eastAsia" w:ascii="宋体" w:hAnsi="宋体" w:cs="Arial"/>
        </w:rPr>
      </w:pPr>
      <w:r>
        <w:rPr>
          <w:rFonts w:ascii="宋体" w:hAnsi="宋体" w:cs="Arial"/>
        </w:rPr>
        <w:t>声/光故障报警及复位装置</w:t>
      </w:r>
    </w:p>
    <w:p w14:paraId="3F002443">
      <w:pPr>
        <w:numPr>
          <w:ilvl w:val="1"/>
          <w:numId w:val="17"/>
        </w:numPr>
        <w:adjustRightInd w:val="0"/>
        <w:snapToGrid w:val="0"/>
        <w:spacing w:line="360" w:lineRule="auto"/>
        <w:rPr>
          <w:rFonts w:hint="eastAsia" w:ascii="宋体" w:hAnsi="宋体" w:cs="Arial"/>
        </w:rPr>
      </w:pPr>
      <w:r>
        <w:rPr>
          <w:rFonts w:ascii="宋体" w:hAnsi="宋体" w:cs="Arial"/>
        </w:rPr>
        <w:t>键盘、显示器、存储器、USB接口、打印机接口等。具有数据打印、记录和储存功能。数控计算机带有的硬盘和打印机，可进行测量及加工数据储存和打印，操作者页面的全部数据也可在打印机上输出。</w:t>
      </w:r>
    </w:p>
    <w:p w14:paraId="037BFC27">
      <w:pPr>
        <w:numPr>
          <w:ilvl w:val="1"/>
          <w:numId w:val="17"/>
        </w:numPr>
        <w:adjustRightInd w:val="0"/>
        <w:snapToGrid w:val="0"/>
        <w:spacing w:line="360" w:lineRule="auto"/>
        <w:rPr>
          <w:rFonts w:hint="eastAsia" w:ascii="宋体" w:hAnsi="宋体" w:cs="Arial"/>
        </w:rPr>
      </w:pPr>
      <w:r>
        <w:rPr>
          <w:rFonts w:ascii="宋体" w:hAnsi="宋体" w:cs="Arial"/>
        </w:rPr>
        <w:t>中央控制器的位置设置要方便操作，且可适当调整位置。</w:t>
      </w:r>
    </w:p>
    <w:p w14:paraId="46852787">
      <w:pPr>
        <w:pStyle w:val="5"/>
        <w:adjustRightInd w:val="0"/>
        <w:snapToGrid w:val="0"/>
        <w:rPr>
          <w:rFonts w:hint="eastAsia" w:cs="Arial"/>
          <w:sz w:val="21"/>
          <w:szCs w:val="21"/>
        </w:rPr>
      </w:pPr>
      <w:r>
        <w:rPr>
          <w:rFonts w:hint="eastAsia" w:cs="Arial"/>
          <w:sz w:val="21"/>
          <w:szCs w:val="21"/>
        </w:rPr>
        <w:t>4）</w:t>
      </w:r>
      <w:r>
        <w:rPr>
          <w:rFonts w:cs="Arial"/>
          <w:sz w:val="21"/>
          <w:szCs w:val="21"/>
        </w:rPr>
        <w:t>屏幕显示信息待设计联络时由招标人确认。</w:t>
      </w:r>
    </w:p>
    <w:p w14:paraId="7D4A4B31">
      <w:pPr>
        <w:pStyle w:val="3"/>
        <w:spacing w:line="360" w:lineRule="auto"/>
        <w:ind w:firstLine="0"/>
        <w:rPr>
          <w:rFonts w:hint="eastAsia" w:ascii="宋体" w:hAnsi="宋体" w:cs="Arial"/>
          <w:szCs w:val="21"/>
        </w:rPr>
      </w:pPr>
      <w:r>
        <w:rPr>
          <w:rFonts w:hint="eastAsia" w:ascii="宋体" w:hAnsi="宋体" w:cs="Arial"/>
          <w:szCs w:val="21"/>
        </w:rPr>
        <w:t>5.4.10.5</w:t>
      </w:r>
      <w:r>
        <w:rPr>
          <w:rFonts w:ascii="宋体" w:hAnsi="宋体" w:cs="Arial"/>
          <w:szCs w:val="21"/>
        </w:rPr>
        <w:t>故障自动诊断、显示、查询、报警功能</w:t>
      </w:r>
    </w:p>
    <w:p w14:paraId="26339F3F">
      <w:pPr>
        <w:pStyle w:val="3"/>
        <w:spacing w:line="360" w:lineRule="auto"/>
        <w:ind w:left="840" w:leftChars="200" w:hanging="420" w:hangingChars="200"/>
        <w:rPr>
          <w:rFonts w:hint="eastAsia" w:ascii="宋体" w:hAnsi="宋体" w:cs="Arial"/>
          <w:szCs w:val="21"/>
        </w:rPr>
      </w:pPr>
      <w:r>
        <w:rPr>
          <w:rFonts w:ascii="宋体" w:hAnsi="宋体" w:cs="Arial"/>
          <w:szCs w:val="21"/>
        </w:rPr>
        <w:t>1）采用质量优越的国际知名品牌数控系统可连续实时监测和显示机床的功能及系统工作的实际情况。机床控制系统装有可自动查找和分析事故原因的软件，并在显示器上给予清楚的显示。可编程逻辑控制通过安装在液压系统、电气系统、注油系统（如有）的探测装置发出控制信号，一旦误动作信号被探测出，在计算机数控显示屏上立即显示出清晰信息。CNC系统和PLC系统具有完善的自诊断、查询和故障检测报警功能，并可自动停机。</w:t>
      </w:r>
    </w:p>
    <w:p w14:paraId="257104E3">
      <w:pPr>
        <w:pStyle w:val="3"/>
        <w:spacing w:line="360" w:lineRule="auto"/>
        <w:ind w:left="840" w:leftChars="200" w:hanging="420" w:hangingChars="200"/>
        <w:rPr>
          <w:rFonts w:hint="eastAsia" w:ascii="宋体" w:hAnsi="宋体" w:cs="Arial"/>
          <w:szCs w:val="21"/>
        </w:rPr>
      </w:pPr>
      <w:r>
        <w:rPr>
          <w:rFonts w:ascii="宋体" w:hAnsi="宋体" w:cs="Arial"/>
          <w:szCs w:val="21"/>
        </w:rPr>
        <w:t>2）</w:t>
      </w:r>
      <w:r>
        <w:rPr>
          <w:rFonts w:hint="eastAsia" w:ascii="宋体" w:hAnsi="宋体" w:cs="Arial"/>
          <w:szCs w:val="21"/>
          <w:lang w:eastAsia="zh-CN"/>
        </w:rPr>
        <w:t>供应商</w:t>
      </w:r>
      <w:r>
        <w:rPr>
          <w:rFonts w:ascii="宋体" w:hAnsi="宋体" w:cs="Arial"/>
          <w:szCs w:val="21"/>
        </w:rPr>
        <w:t>在供货时提供的技术文件中，应提供故障诊断代码解释，且尽量详实，以便于用户在故障维修过程中准确判断机床故障。</w:t>
      </w:r>
    </w:p>
    <w:p w14:paraId="7BD53980">
      <w:pPr>
        <w:pStyle w:val="3"/>
        <w:spacing w:line="360" w:lineRule="auto"/>
        <w:ind w:firstLine="0"/>
        <w:rPr>
          <w:rFonts w:hint="eastAsia" w:ascii="宋体" w:hAnsi="宋体" w:cs="Arial"/>
          <w:szCs w:val="21"/>
        </w:rPr>
      </w:pPr>
      <w:r>
        <w:rPr>
          <w:rFonts w:hint="eastAsia" w:ascii="宋体" w:hAnsi="宋体" w:cs="Arial"/>
          <w:szCs w:val="21"/>
        </w:rPr>
        <w:t>5.4.10.6</w:t>
      </w:r>
      <w:r>
        <w:rPr>
          <w:rFonts w:ascii="宋体" w:hAnsi="宋体" w:cs="Arial"/>
          <w:szCs w:val="21"/>
        </w:rPr>
        <w:t>提供远程通讯诊断的功能及接口</w:t>
      </w:r>
    </w:p>
    <w:p w14:paraId="3E0BD6D1">
      <w:pPr>
        <w:pStyle w:val="3"/>
        <w:spacing w:line="360" w:lineRule="auto"/>
        <w:ind w:left="840" w:leftChars="200" w:hanging="420" w:hangingChars="200"/>
        <w:rPr>
          <w:rFonts w:hint="eastAsia" w:ascii="宋体" w:hAnsi="宋体" w:cs="Arial"/>
          <w:szCs w:val="21"/>
        </w:rPr>
      </w:pPr>
      <w:r>
        <w:rPr>
          <w:rFonts w:ascii="宋体" w:hAnsi="宋体" w:cs="Arial"/>
          <w:szCs w:val="21"/>
        </w:rPr>
        <w:t>1）通过采用质量优越的国际知名品牌系列数控系统的RS232或者RJ45接口，可提供远程通讯诊断的功能。</w:t>
      </w:r>
    </w:p>
    <w:p w14:paraId="673CD861">
      <w:pPr>
        <w:pStyle w:val="3"/>
        <w:spacing w:line="360" w:lineRule="auto"/>
        <w:ind w:left="840" w:leftChars="200" w:hanging="420" w:hangingChars="200"/>
        <w:rPr>
          <w:rFonts w:hint="eastAsia" w:ascii="宋体" w:hAnsi="宋体" w:cs="Arial"/>
          <w:szCs w:val="21"/>
        </w:rPr>
      </w:pPr>
      <w:r>
        <w:rPr>
          <w:rFonts w:ascii="宋体" w:hAnsi="宋体" w:cs="Arial"/>
          <w:szCs w:val="21"/>
        </w:rPr>
        <w:t>2）</w:t>
      </w:r>
      <w:r>
        <w:rPr>
          <w:rFonts w:hint="eastAsia" w:ascii="宋体" w:hAnsi="宋体" w:cs="Arial"/>
          <w:szCs w:val="21"/>
          <w:lang w:eastAsia="zh-CN"/>
        </w:rPr>
        <w:t>供应商</w:t>
      </w:r>
      <w:r>
        <w:rPr>
          <w:rFonts w:ascii="宋体" w:hAnsi="宋体" w:cs="Arial"/>
          <w:szCs w:val="21"/>
        </w:rPr>
        <w:t>提供可供用户车间与制造商之间进行通信的软件、调制解调器以及操作维修人员自动接通维修热线的程序等，用户只需提供通信线路。</w:t>
      </w:r>
    </w:p>
    <w:p w14:paraId="2445F3E1">
      <w:pPr>
        <w:pStyle w:val="3"/>
        <w:spacing w:line="360" w:lineRule="auto"/>
        <w:ind w:left="840" w:leftChars="200" w:hanging="420" w:hangingChars="200"/>
        <w:rPr>
          <w:rFonts w:hint="eastAsia" w:ascii="宋体" w:hAnsi="宋体" w:cs="Arial"/>
          <w:szCs w:val="21"/>
        </w:rPr>
      </w:pPr>
      <w:r>
        <w:rPr>
          <w:rFonts w:ascii="宋体" w:hAnsi="宋体" w:cs="Arial"/>
          <w:szCs w:val="21"/>
        </w:rPr>
        <w:t>3）热线诊断界面简单、易操作。</w:t>
      </w:r>
    </w:p>
    <w:p w14:paraId="2AA9D522">
      <w:pPr>
        <w:pStyle w:val="3"/>
        <w:spacing w:line="360" w:lineRule="auto"/>
        <w:ind w:firstLine="0"/>
        <w:rPr>
          <w:rFonts w:hint="eastAsia" w:ascii="宋体" w:hAnsi="宋体" w:cs="Arial"/>
          <w:szCs w:val="21"/>
        </w:rPr>
      </w:pPr>
      <w:r>
        <w:rPr>
          <w:rFonts w:hint="eastAsia" w:ascii="宋体" w:hAnsi="宋体" w:cs="Arial"/>
          <w:szCs w:val="21"/>
        </w:rPr>
        <w:t>5.4.10.7</w:t>
      </w:r>
      <w:r>
        <w:rPr>
          <w:rFonts w:ascii="宋体" w:hAnsi="宋体" w:cs="Arial"/>
          <w:szCs w:val="21"/>
        </w:rPr>
        <w:t>完善的防误操作功能</w:t>
      </w:r>
    </w:p>
    <w:p w14:paraId="50623D63">
      <w:pPr>
        <w:pStyle w:val="3"/>
        <w:spacing w:line="360" w:lineRule="auto"/>
        <w:ind w:left="840" w:leftChars="200" w:hanging="420" w:hangingChars="200"/>
        <w:rPr>
          <w:rFonts w:hint="eastAsia" w:ascii="宋体" w:hAnsi="宋体" w:cs="Arial"/>
          <w:szCs w:val="21"/>
        </w:rPr>
      </w:pPr>
      <w:r>
        <w:rPr>
          <w:rFonts w:ascii="宋体" w:hAnsi="宋体" w:cs="Arial"/>
          <w:szCs w:val="21"/>
        </w:rPr>
        <w:t>1）采用质量优越的国际知名品牌数控系统具有可连续实时监测和显示机床的功能/动作的实际情况及报警显示的功能，具有完善的防误操作的功能，在操作者发生误动作的情况下，立即显示和报警，机床控制系统可自动查找和分析事故原因，并在显示器上给予清楚的显示。</w:t>
      </w:r>
    </w:p>
    <w:p w14:paraId="63D9D61B">
      <w:pPr>
        <w:pStyle w:val="3"/>
        <w:spacing w:line="360" w:lineRule="auto"/>
        <w:ind w:left="840" w:leftChars="200" w:hanging="420" w:hangingChars="200"/>
        <w:rPr>
          <w:rFonts w:hint="eastAsia" w:ascii="宋体" w:hAnsi="宋体" w:cs="Arial"/>
          <w:szCs w:val="21"/>
        </w:rPr>
      </w:pPr>
      <w:r>
        <w:rPr>
          <w:rFonts w:ascii="宋体" w:hAnsi="宋体" w:cs="Arial"/>
          <w:szCs w:val="21"/>
        </w:rPr>
        <w:t>2）要求</w:t>
      </w:r>
      <w:r>
        <w:rPr>
          <w:rFonts w:hint="eastAsia" w:ascii="宋体" w:hAnsi="宋体" w:cs="Arial"/>
          <w:szCs w:val="21"/>
          <w:lang w:eastAsia="zh-CN"/>
        </w:rPr>
        <w:t>供应商</w:t>
      </w:r>
      <w:r>
        <w:rPr>
          <w:rFonts w:ascii="宋体" w:hAnsi="宋体" w:cs="Arial"/>
          <w:szCs w:val="21"/>
        </w:rPr>
        <w:t>提供不少于150个功能点的误操作诊断功能，故障显示语言通俗易懂。</w:t>
      </w:r>
    </w:p>
    <w:p w14:paraId="36F7AD2A">
      <w:pPr>
        <w:pStyle w:val="3"/>
        <w:spacing w:line="360" w:lineRule="auto"/>
        <w:ind w:firstLine="0"/>
        <w:rPr>
          <w:rFonts w:hint="eastAsia" w:ascii="宋体" w:hAnsi="宋体" w:cs="Arial"/>
          <w:szCs w:val="21"/>
        </w:rPr>
      </w:pPr>
      <w:r>
        <w:rPr>
          <w:rFonts w:hint="eastAsia" w:ascii="宋体" w:hAnsi="宋体" w:cs="Arial"/>
          <w:szCs w:val="21"/>
        </w:rPr>
        <w:t>5.4.10.8</w:t>
      </w:r>
      <w:r>
        <w:rPr>
          <w:rFonts w:ascii="宋体" w:hAnsi="宋体" w:cs="Arial"/>
          <w:szCs w:val="21"/>
        </w:rPr>
        <w:t>机床的调整和校正功能</w:t>
      </w:r>
    </w:p>
    <w:p w14:paraId="56BAF88D">
      <w:pPr>
        <w:pStyle w:val="5"/>
        <w:adjustRightInd w:val="0"/>
        <w:snapToGrid w:val="0"/>
        <w:ind w:left="899" w:leftChars="428" w:firstLine="1"/>
        <w:rPr>
          <w:rFonts w:hint="eastAsia" w:cs="Arial"/>
          <w:sz w:val="21"/>
          <w:szCs w:val="21"/>
        </w:rPr>
      </w:pPr>
      <w:r>
        <w:rPr>
          <w:rFonts w:hint="eastAsia" w:cs="Arial"/>
          <w:sz w:val="21"/>
          <w:szCs w:val="21"/>
          <w:lang w:eastAsia="zh-CN"/>
        </w:rPr>
        <w:t>供应商</w:t>
      </w:r>
      <w:r>
        <w:rPr>
          <w:rFonts w:cs="Arial"/>
          <w:sz w:val="21"/>
          <w:szCs w:val="21"/>
        </w:rPr>
        <w:t>提供校正轴（标准轮对），以便于对机床的测量装置进行调校。校正轴上带有能在机床上安装定位的接口。</w:t>
      </w:r>
    </w:p>
    <w:p w14:paraId="5DDE2053">
      <w:pPr>
        <w:pStyle w:val="3"/>
        <w:spacing w:line="360" w:lineRule="auto"/>
        <w:ind w:firstLine="0"/>
        <w:rPr>
          <w:rFonts w:hint="eastAsia" w:ascii="宋体" w:hAnsi="宋体" w:cs="Arial"/>
          <w:szCs w:val="21"/>
        </w:rPr>
      </w:pPr>
      <w:r>
        <w:rPr>
          <w:rFonts w:hint="eastAsia" w:ascii="宋体" w:hAnsi="宋体" w:cs="Arial"/>
          <w:szCs w:val="21"/>
        </w:rPr>
        <w:t>5.4.10.9</w:t>
      </w:r>
      <w:r>
        <w:rPr>
          <w:rFonts w:ascii="宋体" w:hAnsi="宋体" w:cs="Arial"/>
          <w:szCs w:val="21"/>
        </w:rPr>
        <w:t>机床切削防滑功能</w:t>
      </w:r>
    </w:p>
    <w:p w14:paraId="2D8AE798">
      <w:pPr>
        <w:numPr>
          <w:ilvl w:val="0"/>
          <w:numId w:val="21"/>
        </w:numPr>
        <w:tabs>
          <w:tab w:val="left" w:pos="1065"/>
          <w:tab w:val="clear" w:pos="1680"/>
        </w:tabs>
        <w:adjustRightInd w:val="0"/>
        <w:snapToGrid w:val="0"/>
        <w:spacing w:line="360" w:lineRule="auto"/>
        <w:ind w:left="1065" w:hanging="426"/>
        <w:rPr>
          <w:rFonts w:hint="eastAsia" w:ascii="宋体" w:hAnsi="宋体" w:cs="Arial"/>
        </w:rPr>
      </w:pPr>
      <w:r>
        <w:rPr>
          <w:rFonts w:ascii="宋体" w:hAnsi="宋体" w:cs="Arial"/>
        </w:rPr>
        <w:t>机床数控系统能够控制车轮和驱动轮的转速，并在加工过程中对它们的速度进行分析和比较。当车轮与驱动轮之间的摩擦粘着力不足，出现打滑（卡死）时，防滑装置中的电子系统可降低进给速度或自动退刀。</w:t>
      </w:r>
    </w:p>
    <w:p w14:paraId="44E38B15">
      <w:pPr>
        <w:numPr>
          <w:ilvl w:val="0"/>
          <w:numId w:val="21"/>
        </w:numPr>
        <w:tabs>
          <w:tab w:val="left" w:pos="1065"/>
          <w:tab w:val="clear" w:pos="1680"/>
        </w:tabs>
        <w:adjustRightInd w:val="0"/>
        <w:snapToGrid w:val="0"/>
        <w:spacing w:line="360" w:lineRule="auto"/>
        <w:ind w:left="1065" w:hanging="426"/>
        <w:rPr>
          <w:rFonts w:hint="eastAsia" w:ascii="宋体" w:hAnsi="宋体" w:cs="Arial"/>
        </w:rPr>
      </w:pPr>
      <w:r>
        <w:rPr>
          <w:rFonts w:ascii="宋体" w:hAnsi="宋体" w:cs="Arial"/>
        </w:rPr>
        <w:t>防滑控制系统设备包括：机床驱动系统的旋转编码器，包含PLC机床控制系统计数卡；机床控制软件程序。</w:t>
      </w:r>
    </w:p>
    <w:p w14:paraId="685B8ECD">
      <w:pPr>
        <w:numPr>
          <w:ilvl w:val="0"/>
          <w:numId w:val="21"/>
        </w:numPr>
        <w:tabs>
          <w:tab w:val="left" w:pos="1065"/>
          <w:tab w:val="clear" w:pos="1680"/>
        </w:tabs>
        <w:adjustRightInd w:val="0"/>
        <w:snapToGrid w:val="0"/>
        <w:spacing w:line="360" w:lineRule="auto"/>
        <w:ind w:left="1065" w:hanging="426"/>
        <w:rPr>
          <w:rFonts w:hint="eastAsia" w:ascii="宋体" w:hAnsi="宋体" w:cs="Arial"/>
        </w:rPr>
      </w:pPr>
      <w:r>
        <w:rPr>
          <w:rFonts w:ascii="宋体" w:hAnsi="宋体" w:cs="Arial"/>
        </w:rPr>
        <w:t>车轮与驱动轮转速之间的允许差值可事先设定，编入计算机程序。</w:t>
      </w:r>
      <w:r>
        <w:rPr>
          <w:rFonts w:hint="eastAsia" w:ascii="宋体" w:hAnsi="宋体" w:cs="Arial"/>
          <w:lang w:eastAsia="zh-CN"/>
        </w:rPr>
        <w:t>供应商</w:t>
      </w:r>
      <w:r>
        <w:rPr>
          <w:rFonts w:ascii="宋体" w:hAnsi="宋体" w:cs="Arial"/>
        </w:rPr>
        <w:t>应提供控制装置的反应时间。</w:t>
      </w:r>
    </w:p>
    <w:p w14:paraId="1B823713">
      <w:pPr>
        <w:numPr>
          <w:ilvl w:val="0"/>
          <w:numId w:val="21"/>
        </w:numPr>
        <w:tabs>
          <w:tab w:val="left" w:pos="1065"/>
          <w:tab w:val="clear" w:pos="1680"/>
        </w:tabs>
        <w:adjustRightInd w:val="0"/>
        <w:snapToGrid w:val="0"/>
        <w:spacing w:line="360" w:lineRule="auto"/>
        <w:ind w:left="1065" w:hanging="426"/>
        <w:rPr>
          <w:rFonts w:hint="eastAsia" w:ascii="宋体" w:hAnsi="宋体" w:cs="Arial"/>
        </w:rPr>
      </w:pPr>
      <w:r>
        <w:rPr>
          <w:rFonts w:ascii="宋体" w:hAnsi="宋体" w:cs="Arial"/>
        </w:rPr>
        <w:t>本设备要求对驱动滚轮和车轮之间的滑动量进行分级监控：灯光报警级、自动退刀级、机床停车级。</w:t>
      </w:r>
    </w:p>
    <w:p w14:paraId="6D879D41">
      <w:pPr>
        <w:tabs>
          <w:tab w:val="left" w:pos="852"/>
        </w:tabs>
        <w:spacing w:line="360" w:lineRule="auto"/>
        <w:rPr>
          <w:rFonts w:hint="eastAsia" w:ascii="宋体" w:hAnsi="宋体" w:cs="Arial"/>
          <w:b/>
        </w:rPr>
      </w:pPr>
      <w:r>
        <w:rPr>
          <w:rFonts w:hint="eastAsia" w:ascii="宋体" w:hAnsi="宋体" w:cs="Arial"/>
          <w:b/>
        </w:rPr>
        <w:t>5.4.11</w:t>
      </w:r>
      <w:r>
        <w:rPr>
          <w:rFonts w:ascii="宋体" w:hAnsi="宋体" w:cs="Arial"/>
          <w:b/>
        </w:rPr>
        <w:t>电气系统</w:t>
      </w:r>
    </w:p>
    <w:p w14:paraId="06A8C027">
      <w:pPr>
        <w:numPr>
          <w:ilvl w:val="0"/>
          <w:numId w:val="22"/>
        </w:numPr>
        <w:tabs>
          <w:tab w:val="left" w:pos="1260"/>
          <w:tab w:val="clear" w:pos="900"/>
        </w:tabs>
        <w:adjustRightInd w:val="0"/>
        <w:snapToGrid w:val="0"/>
        <w:spacing w:line="360" w:lineRule="auto"/>
        <w:ind w:left="1260" w:leftChars="428" w:hanging="361" w:hangingChars="172"/>
        <w:rPr>
          <w:rFonts w:hint="eastAsia" w:ascii="宋体" w:hAnsi="宋体" w:cs="Arial"/>
        </w:rPr>
      </w:pPr>
      <w:r>
        <w:rPr>
          <w:rFonts w:ascii="宋体" w:hAnsi="宋体" w:cs="Arial"/>
        </w:rPr>
        <w:t>机床接地。机床必须可靠的接地，同时必须考虑防迷流措施。</w:t>
      </w:r>
    </w:p>
    <w:p w14:paraId="12E03D43">
      <w:pPr>
        <w:numPr>
          <w:ilvl w:val="0"/>
          <w:numId w:val="22"/>
        </w:numPr>
        <w:tabs>
          <w:tab w:val="left" w:pos="1260"/>
          <w:tab w:val="clear" w:pos="900"/>
        </w:tabs>
        <w:adjustRightInd w:val="0"/>
        <w:snapToGrid w:val="0"/>
        <w:spacing w:line="360" w:lineRule="auto"/>
        <w:ind w:left="1260" w:leftChars="428" w:hanging="361" w:hangingChars="172"/>
        <w:rPr>
          <w:rFonts w:hint="eastAsia" w:ascii="宋体" w:hAnsi="宋体" w:cs="Arial"/>
        </w:rPr>
      </w:pPr>
      <w:r>
        <w:rPr>
          <w:rFonts w:ascii="宋体" w:hAnsi="宋体" w:cs="Arial"/>
        </w:rPr>
        <w:t>提供车削刀具区域和中央控制器区域的照明。工作场地照明亮度</w:t>
      </w:r>
      <w:r>
        <w:rPr>
          <w:rFonts w:hint="eastAsia" w:ascii="宋体" w:hAnsi="宋体" w:cs="Arial"/>
        </w:rPr>
        <w:t>不小于</w:t>
      </w:r>
      <w:r>
        <w:rPr>
          <w:rFonts w:ascii="宋体" w:hAnsi="宋体" w:cs="Arial"/>
        </w:rPr>
        <w:t>300lux.</w:t>
      </w:r>
    </w:p>
    <w:p w14:paraId="3F9AE372">
      <w:pPr>
        <w:numPr>
          <w:ilvl w:val="0"/>
          <w:numId w:val="22"/>
        </w:numPr>
        <w:tabs>
          <w:tab w:val="left" w:pos="1260"/>
          <w:tab w:val="clear" w:pos="900"/>
        </w:tabs>
        <w:adjustRightInd w:val="0"/>
        <w:snapToGrid w:val="0"/>
        <w:spacing w:line="360" w:lineRule="auto"/>
        <w:ind w:left="1260" w:leftChars="428" w:hanging="361" w:hangingChars="172"/>
        <w:rPr>
          <w:rFonts w:hint="eastAsia" w:ascii="宋体" w:hAnsi="宋体" w:cs="Arial"/>
        </w:rPr>
      </w:pPr>
      <w:r>
        <w:rPr>
          <w:rFonts w:ascii="宋体" w:hAnsi="宋体" w:cs="Arial"/>
        </w:rPr>
        <w:t>电线管、槽应安装牢固。电线要用线卡、扎线带等以适当间隔固定。接线端子采用压接，两接线端子间的电线不允许剪接。每根电线两端应有清晰永久性的电线号码标识。</w:t>
      </w:r>
    </w:p>
    <w:p w14:paraId="3414576B">
      <w:pPr>
        <w:numPr>
          <w:ilvl w:val="0"/>
          <w:numId w:val="22"/>
        </w:numPr>
        <w:tabs>
          <w:tab w:val="left" w:pos="1260"/>
          <w:tab w:val="clear" w:pos="900"/>
        </w:tabs>
        <w:adjustRightInd w:val="0"/>
        <w:snapToGrid w:val="0"/>
        <w:spacing w:line="360" w:lineRule="auto"/>
        <w:ind w:left="1260" w:leftChars="428" w:hanging="361" w:hangingChars="172"/>
        <w:rPr>
          <w:rFonts w:hint="eastAsia" w:ascii="宋体" w:hAnsi="宋体" w:cs="Arial"/>
        </w:rPr>
      </w:pPr>
      <w:r>
        <w:rPr>
          <w:rFonts w:ascii="宋体" w:hAnsi="宋体" w:cs="Arial"/>
        </w:rPr>
        <w:t>所有电线、电缆的绝缘等级应与工作电压相符，截面积应与所通过的最大电流相符。</w:t>
      </w:r>
    </w:p>
    <w:p w14:paraId="0B6A76E5">
      <w:pPr>
        <w:numPr>
          <w:ilvl w:val="0"/>
          <w:numId w:val="22"/>
        </w:numPr>
        <w:tabs>
          <w:tab w:val="left" w:pos="1260"/>
          <w:tab w:val="clear" w:pos="900"/>
        </w:tabs>
        <w:adjustRightInd w:val="0"/>
        <w:snapToGrid w:val="0"/>
        <w:spacing w:line="360" w:lineRule="auto"/>
        <w:ind w:left="1260" w:leftChars="428" w:hanging="361" w:hangingChars="172"/>
        <w:rPr>
          <w:rFonts w:hint="eastAsia" w:ascii="宋体" w:hAnsi="宋体" w:cs="Arial"/>
        </w:rPr>
      </w:pPr>
      <w:r>
        <w:rPr>
          <w:rFonts w:ascii="宋体" w:hAnsi="宋体" w:cs="Arial"/>
        </w:rPr>
        <w:t>机床要求配置稳压装置及隔离变压器以保护数控系统元器件</w:t>
      </w:r>
      <w:r>
        <w:rPr>
          <w:rFonts w:hint="eastAsia" w:ascii="宋体" w:hAnsi="宋体" w:cs="Arial"/>
        </w:rPr>
        <w:t>（选项）</w:t>
      </w:r>
      <w:r>
        <w:rPr>
          <w:rFonts w:ascii="宋体" w:hAnsi="宋体" w:cs="Arial"/>
        </w:rPr>
        <w:t>。</w:t>
      </w:r>
    </w:p>
    <w:p w14:paraId="0E5FEC90">
      <w:pPr>
        <w:numPr>
          <w:ilvl w:val="0"/>
          <w:numId w:val="22"/>
        </w:numPr>
        <w:tabs>
          <w:tab w:val="left" w:pos="1260"/>
          <w:tab w:val="clear" w:pos="900"/>
        </w:tabs>
        <w:adjustRightInd w:val="0"/>
        <w:snapToGrid w:val="0"/>
        <w:spacing w:line="360" w:lineRule="auto"/>
        <w:ind w:left="1260" w:leftChars="428" w:hanging="361" w:hangingChars="172"/>
        <w:rPr>
          <w:rFonts w:hint="eastAsia" w:ascii="宋体" w:hAnsi="宋体" w:cs="Arial"/>
        </w:rPr>
      </w:pPr>
      <w:r>
        <w:rPr>
          <w:rFonts w:ascii="宋体" w:hAnsi="宋体" w:cs="Arial"/>
        </w:rPr>
        <w:t>电箱内安装电气和控制单元，包括但不限于：一个全套的控制单元（带功率放大器）、PLC控制系统输入输出模块、机床控制系统逻辑部件、进给和主驱动控制系统等。</w:t>
      </w:r>
    </w:p>
    <w:p w14:paraId="1102FABA">
      <w:pPr>
        <w:numPr>
          <w:ilvl w:val="0"/>
          <w:numId w:val="22"/>
        </w:numPr>
        <w:tabs>
          <w:tab w:val="left" w:pos="1260"/>
          <w:tab w:val="clear" w:pos="900"/>
        </w:tabs>
        <w:adjustRightInd w:val="0"/>
        <w:snapToGrid w:val="0"/>
        <w:spacing w:line="360" w:lineRule="auto"/>
        <w:ind w:left="1260" w:leftChars="428" w:hanging="361" w:hangingChars="172"/>
        <w:rPr>
          <w:rFonts w:hint="eastAsia" w:ascii="宋体" w:hAnsi="宋体" w:cs="Arial"/>
        </w:rPr>
      </w:pPr>
      <w:r>
        <w:rPr>
          <w:rFonts w:ascii="宋体" w:hAnsi="宋体" w:cs="Arial"/>
        </w:rPr>
        <w:t>电箱内还设有控制箱内温度的专用空调装置和服务时间记录器。电箱设计要便于通讯、散热和照明，电箱的防护等级</w:t>
      </w:r>
      <w:r>
        <w:rPr>
          <w:rFonts w:hint="eastAsia" w:ascii="宋体" w:hAnsi="宋体" w:cs="Arial"/>
        </w:rPr>
        <w:t>不低</w:t>
      </w:r>
      <w:r>
        <w:rPr>
          <w:rFonts w:ascii="宋体" w:hAnsi="宋体" w:cs="Arial"/>
        </w:rPr>
        <w:t>于IP54，具有防尘、降温及除湿功能，满足哈尔滨地区气候条件。</w:t>
      </w:r>
    </w:p>
    <w:p w14:paraId="3A595DB4">
      <w:pPr>
        <w:spacing w:line="360" w:lineRule="auto"/>
        <w:rPr>
          <w:rFonts w:hint="eastAsia" w:ascii="宋体" w:hAnsi="宋体" w:cs="Arial"/>
          <w:b/>
        </w:rPr>
      </w:pPr>
      <w:r>
        <w:rPr>
          <w:rFonts w:hint="eastAsia" w:ascii="宋体" w:hAnsi="宋体" w:cs="Arial"/>
          <w:b/>
        </w:rPr>
        <w:t>5.4.12</w:t>
      </w:r>
      <w:r>
        <w:rPr>
          <w:rFonts w:ascii="宋体" w:hAnsi="宋体" w:cs="Arial"/>
          <w:b/>
        </w:rPr>
        <w:t>润滑系统</w:t>
      </w:r>
    </w:p>
    <w:p w14:paraId="116C9BB5">
      <w:pPr>
        <w:numPr>
          <w:ilvl w:val="255"/>
          <w:numId w:val="0"/>
        </w:numPr>
        <w:tabs>
          <w:tab w:val="left" w:pos="1065"/>
        </w:tabs>
        <w:spacing w:line="360" w:lineRule="auto"/>
        <w:ind w:left="639"/>
        <w:rPr>
          <w:rFonts w:hint="eastAsia" w:ascii="宋体" w:hAnsi="宋体" w:cs="Arial"/>
        </w:rPr>
      </w:pPr>
      <w:r>
        <w:rPr>
          <w:rFonts w:ascii="宋体" w:hAnsi="宋体" w:cs="Arial"/>
        </w:rPr>
        <w:t>1）※机床设置完善的润滑系统，对刀座滑板及各运动部件进行定期润滑。</w:t>
      </w:r>
    </w:p>
    <w:p w14:paraId="0E9E3604">
      <w:pPr>
        <w:numPr>
          <w:ilvl w:val="255"/>
          <w:numId w:val="0"/>
        </w:numPr>
        <w:tabs>
          <w:tab w:val="left" w:pos="1065"/>
        </w:tabs>
        <w:spacing w:line="360" w:lineRule="auto"/>
        <w:ind w:left="639"/>
        <w:rPr>
          <w:rFonts w:hint="eastAsia" w:ascii="宋体" w:hAnsi="宋体" w:cs="Arial"/>
        </w:rPr>
      </w:pPr>
      <w:r>
        <w:rPr>
          <w:rFonts w:ascii="宋体" w:hAnsi="宋体" w:cs="Arial"/>
        </w:rPr>
        <w:t>2）所有润滑部位不允许出现渗漏现象。</w:t>
      </w:r>
    </w:p>
    <w:p w14:paraId="668AE0F6">
      <w:pPr>
        <w:numPr>
          <w:ilvl w:val="255"/>
          <w:numId w:val="0"/>
        </w:numPr>
        <w:tabs>
          <w:tab w:val="left" w:pos="1065"/>
        </w:tabs>
        <w:spacing w:line="360" w:lineRule="auto"/>
        <w:ind w:left="639"/>
        <w:rPr>
          <w:rFonts w:hint="eastAsia" w:ascii="宋体" w:hAnsi="宋体" w:cs="Arial"/>
        </w:rPr>
      </w:pPr>
      <w:r>
        <w:rPr>
          <w:rFonts w:ascii="宋体" w:hAnsi="宋体" w:cs="Arial"/>
        </w:rPr>
        <w:t>3）</w:t>
      </w:r>
      <w:r>
        <w:rPr>
          <w:rFonts w:hint="eastAsia" w:ascii="宋体" w:hAnsi="宋体" w:cs="Arial"/>
          <w:lang w:eastAsia="zh-CN"/>
        </w:rPr>
        <w:t>供应商</w:t>
      </w:r>
      <w:r>
        <w:rPr>
          <w:rFonts w:ascii="宋体" w:hAnsi="宋体" w:cs="Arial"/>
        </w:rPr>
        <w:t>须提供机床配套的液压油和润滑脂，能够满足一年内的设备日常维保需求。</w:t>
      </w:r>
    </w:p>
    <w:p w14:paraId="78E52F54">
      <w:pPr>
        <w:spacing w:line="360" w:lineRule="auto"/>
        <w:rPr>
          <w:rFonts w:hint="eastAsia" w:ascii="宋体" w:hAnsi="宋体" w:cs="Arial"/>
          <w:b/>
        </w:rPr>
      </w:pPr>
      <w:r>
        <w:rPr>
          <w:rFonts w:hint="eastAsia" w:ascii="宋体" w:hAnsi="宋体" w:cs="Arial"/>
          <w:b/>
        </w:rPr>
        <w:t>5.4.13</w:t>
      </w:r>
      <w:r>
        <w:rPr>
          <w:rFonts w:ascii="宋体" w:hAnsi="宋体" w:cs="Arial"/>
          <w:b/>
        </w:rPr>
        <w:t>断屑/碎屑/排屑系统</w:t>
      </w:r>
    </w:p>
    <w:p w14:paraId="0B55B449">
      <w:pPr>
        <w:tabs>
          <w:tab w:val="left" w:pos="852"/>
        </w:tabs>
        <w:adjustRightInd w:val="0"/>
        <w:snapToGrid w:val="0"/>
        <w:spacing w:before="156" w:beforeLines="50" w:line="360" w:lineRule="auto"/>
        <w:ind w:left="840" w:hanging="840" w:hangingChars="400"/>
        <w:jc w:val="left"/>
        <w:rPr>
          <w:rFonts w:hint="eastAsia" w:ascii="宋体" w:hAnsi="宋体" w:cs="Arial"/>
        </w:rPr>
      </w:pPr>
      <w:r>
        <w:rPr>
          <w:rFonts w:hint="eastAsia" w:ascii="宋体" w:hAnsi="宋体" w:cs="Arial"/>
        </w:rPr>
        <w:t>5.4.13.1</w:t>
      </w:r>
      <w:r>
        <w:rPr>
          <w:rFonts w:ascii="宋体" w:hAnsi="宋体" w:cs="Arial"/>
        </w:rPr>
        <w:t>该系统具有金属切屑收集、碎屑处理功能，并将切屑密封传送到地面的集屑小车中</w:t>
      </w:r>
      <w:r>
        <w:rPr>
          <w:rFonts w:hint="eastAsia" w:ascii="宋体" w:hAnsi="宋体" w:cs="Arial"/>
        </w:rPr>
        <w:t>。</w:t>
      </w:r>
      <w:r>
        <w:rPr>
          <w:rFonts w:ascii="宋体" w:hAnsi="宋体" w:cs="Arial"/>
        </w:rPr>
        <w:t>集屑小车</w:t>
      </w:r>
      <w:r>
        <w:rPr>
          <w:rFonts w:hint="eastAsia" w:ascii="宋体" w:hAnsi="宋体" w:cs="Arial"/>
        </w:rPr>
        <w:t>容积应大于1.5立方米，其材质需由金属制作，重量在60Kg-100Kg之间，并涂有防腐漆，并配置焊接牢靠的</w:t>
      </w:r>
      <w:r>
        <w:rPr>
          <w:rFonts w:ascii="宋体" w:hAnsi="宋体" w:cs="Arial"/>
        </w:rPr>
        <w:t>叉车叉</w:t>
      </w:r>
      <w:r>
        <w:rPr>
          <w:rFonts w:hint="eastAsia" w:ascii="宋体" w:hAnsi="宋体" w:cs="Arial"/>
        </w:rPr>
        <w:t>钩，配置</w:t>
      </w:r>
      <w:r>
        <w:rPr>
          <w:rFonts w:ascii="宋体" w:hAnsi="宋体" w:cs="Arial"/>
        </w:rPr>
        <w:t>手动卸屑机构，</w:t>
      </w:r>
      <w:r>
        <w:rPr>
          <w:rFonts w:hint="eastAsia" w:ascii="宋体" w:hAnsi="宋体" w:cs="Arial"/>
        </w:rPr>
        <w:t>配置</w:t>
      </w:r>
      <w:r>
        <w:rPr>
          <w:rFonts w:ascii="宋体" w:hAnsi="宋体" w:cs="Arial"/>
        </w:rPr>
        <w:t>乘载万象轮</w:t>
      </w:r>
      <w:r>
        <w:rPr>
          <w:rFonts w:hint="eastAsia" w:ascii="宋体" w:hAnsi="宋体" w:cs="Arial"/>
        </w:rPr>
        <w:t>。</w:t>
      </w:r>
    </w:p>
    <w:p w14:paraId="71F21747">
      <w:pPr>
        <w:tabs>
          <w:tab w:val="left" w:pos="852"/>
        </w:tabs>
        <w:adjustRightInd w:val="0"/>
        <w:snapToGrid w:val="0"/>
        <w:spacing w:before="156" w:beforeLines="50" w:line="360" w:lineRule="auto"/>
        <w:ind w:left="840" w:hanging="840" w:hangingChars="400"/>
        <w:jc w:val="left"/>
        <w:rPr>
          <w:rFonts w:hint="eastAsia" w:ascii="宋体" w:hAnsi="宋体" w:cs="Arial"/>
        </w:rPr>
      </w:pPr>
      <w:r>
        <w:rPr>
          <w:rFonts w:hint="eastAsia" w:ascii="宋体" w:hAnsi="宋体" w:cs="Arial"/>
        </w:rPr>
        <w:t>5.4.13.2</w:t>
      </w:r>
      <w:r>
        <w:rPr>
          <w:rFonts w:ascii="宋体" w:hAnsi="宋体" w:cs="Arial"/>
        </w:rPr>
        <w:t>集屑/碎屑/排屑传送装置的操作可全部自动化，碎屑/输送装置需在不落轮镟床工作时自动运转；也可以在控制操作台以手动模式进行操作。</w:t>
      </w:r>
      <w:r>
        <w:rPr>
          <w:rFonts w:hint="eastAsia" w:ascii="宋体" w:hAnsi="宋体" w:cs="Arial"/>
        </w:rPr>
        <w:t>同时，该装置应具备超负荷停转及报警功能。</w:t>
      </w:r>
    </w:p>
    <w:p w14:paraId="6F73F8EC">
      <w:pPr>
        <w:tabs>
          <w:tab w:val="left" w:pos="852"/>
        </w:tabs>
        <w:adjustRightInd w:val="0"/>
        <w:snapToGrid w:val="0"/>
        <w:spacing w:before="156" w:beforeLines="50" w:line="360" w:lineRule="auto"/>
        <w:ind w:left="840" w:hanging="840" w:hangingChars="400"/>
        <w:jc w:val="left"/>
        <w:rPr>
          <w:rFonts w:cs="Arial"/>
          <w:szCs w:val="21"/>
        </w:rPr>
      </w:pPr>
      <w:r>
        <w:rPr>
          <w:rFonts w:hint="eastAsia" w:ascii="宋体" w:hAnsi="宋体" w:cs="Arial"/>
        </w:rPr>
        <w:t>5.4.13.3整套设备满足最大切削量</w:t>
      </w:r>
      <w:r>
        <w:rPr>
          <w:rFonts w:ascii="宋体" w:hAnsi="宋体" w:cs="Arial"/>
        </w:rPr>
        <w:t>时能够持续正常运转，满足机床切削排屑的要求。</w:t>
      </w:r>
      <w:r>
        <w:rPr>
          <w:rFonts w:hint="eastAsia" w:ascii="宋体" w:hAnsi="宋体" w:cs="Arial"/>
          <w:lang w:eastAsia="zh-CN"/>
        </w:rPr>
        <w:t>供应商</w:t>
      </w:r>
      <w:r>
        <w:rPr>
          <w:rFonts w:hint="eastAsia" w:ascii="宋体" w:hAnsi="宋体" w:cs="Arial"/>
        </w:rPr>
        <w:t>提供断屑器能力测试报告。</w:t>
      </w:r>
    </w:p>
    <w:p w14:paraId="4F2178EF">
      <w:pPr>
        <w:tabs>
          <w:tab w:val="left" w:pos="852"/>
        </w:tabs>
        <w:adjustRightInd w:val="0"/>
        <w:snapToGrid w:val="0"/>
        <w:spacing w:before="156" w:beforeLines="50" w:line="360" w:lineRule="auto"/>
        <w:ind w:left="840" w:hanging="840" w:hangingChars="400"/>
        <w:jc w:val="left"/>
        <w:rPr>
          <w:rFonts w:hint="eastAsia" w:ascii="宋体" w:hAnsi="宋体" w:cs="Arial"/>
        </w:rPr>
      </w:pPr>
      <w:r>
        <w:rPr>
          <w:rFonts w:hint="eastAsia" w:ascii="宋体" w:hAnsi="宋体" w:cs="Arial"/>
        </w:rPr>
        <w:t>5.4.13.4铁屑破碎及排送系统的碎屑刀具使用寿命不低于5年，且所破碎排出的铁屑尺寸不大于2立方厘米。</w:t>
      </w:r>
    </w:p>
    <w:p w14:paraId="522944C3">
      <w:pPr>
        <w:rPr>
          <w:rFonts w:hint="eastAsia" w:ascii="宋体" w:hAnsi="宋体" w:cs="Arial"/>
          <w:b/>
        </w:rPr>
      </w:pPr>
      <w:r>
        <w:rPr>
          <w:rFonts w:hint="eastAsia" w:ascii="宋体" w:hAnsi="宋体" w:cs="Arial"/>
          <w:b/>
        </w:rPr>
        <w:t>5.4.14吸/排烟尘系统</w:t>
      </w:r>
    </w:p>
    <w:p w14:paraId="143FC1D0">
      <w:pPr>
        <w:tabs>
          <w:tab w:val="left" w:pos="852"/>
        </w:tabs>
        <w:spacing w:before="156" w:beforeLines="50" w:line="360" w:lineRule="auto"/>
        <w:ind w:left="840" w:leftChars="400"/>
        <w:jc w:val="left"/>
        <w:rPr>
          <w:rFonts w:hint="eastAsia" w:ascii="宋体" w:hAnsi="宋体" w:cs="Arial"/>
        </w:rPr>
      </w:pPr>
      <w:r>
        <w:rPr>
          <w:rFonts w:hint="eastAsia" w:ascii="宋体" w:hAnsi="宋体" w:cs="Arial"/>
        </w:rPr>
        <w:t>机床安装有吸/排烟尘的集尘过滤装置，用来吸/排轮对加工过程产生的烟尘。集尘过滤装置由静电过滤器、机械过滤器和活性炭过滤器组成，并且吸/排尘系统的噪音需＜80dBA。</w:t>
      </w:r>
    </w:p>
    <w:p w14:paraId="6CFAFB49">
      <w:pPr>
        <w:pStyle w:val="4"/>
        <w:spacing w:line="360" w:lineRule="auto"/>
        <w:rPr>
          <w:rFonts w:hint="eastAsia" w:ascii="宋体" w:hAnsi="宋体" w:cs="Arial"/>
          <w:b/>
          <w:szCs w:val="21"/>
        </w:rPr>
      </w:pPr>
      <w:bookmarkStart w:id="33" w:name="_Toc29128"/>
      <w:r>
        <w:rPr>
          <w:rFonts w:hint="eastAsia" w:ascii="宋体" w:hAnsi="宋体" w:cs="Arial"/>
          <w:b/>
          <w:szCs w:val="21"/>
        </w:rPr>
        <w:t>5.5</w:t>
      </w:r>
      <w:r>
        <w:rPr>
          <w:rFonts w:ascii="宋体" w:hAnsi="宋体" w:cs="Arial"/>
          <w:b/>
          <w:szCs w:val="21"/>
        </w:rPr>
        <w:t>安全防护</w:t>
      </w:r>
      <w:bookmarkEnd w:id="33"/>
    </w:p>
    <w:p w14:paraId="73871E98">
      <w:pPr>
        <w:spacing w:line="360" w:lineRule="auto"/>
        <w:ind w:left="586" w:hanging="585" w:hangingChars="279"/>
        <w:rPr>
          <w:rFonts w:hint="eastAsia" w:ascii="宋体" w:hAnsi="宋体"/>
        </w:rPr>
      </w:pPr>
      <w:r>
        <w:rPr>
          <w:rFonts w:hint="eastAsia" w:ascii="宋体" w:hAnsi="宋体"/>
        </w:rPr>
        <w:t>5.5.1设备设计应充分考虑安全保护措施，保护操作者在加工、安装、维修时采用合理的预选锁定及控制系统程序。防止因误操作或机床故障造成人员、设备和车辆事故。</w:t>
      </w:r>
    </w:p>
    <w:p w14:paraId="21ADAFD2">
      <w:pPr>
        <w:spacing w:line="360" w:lineRule="auto"/>
        <w:ind w:left="630" w:hanging="630" w:hangingChars="300"/>
        <w:rPr>
          <w:rFonts w:hint="eastAsia" w:ascii="宋体" w:hAnsi="宋体"/>
        </w:rPr>
      </w:pPr>
      <w:r>
        <w:rPr>
          <w:rFonts w:hint="eastAsia" w:ascii="宋体" w:hAnsi="宋体"/>
        </w:rPr>
        <w:t>5.5.2防止电流波动及外界干扰，要考虑配置稳压装置及隔离变压器保护数控系统元器件(选项)。</w:t>
      </w:r>
    </w:p>
    <w:p w14:paraId="1F3ED5D8">
      <w:pPr>
        <w:spacing w:line="360" w:lineRule="auto"/>
        <w:rPr>
          <w:rFonts w:hint="eastAsia" w:ascii="宋体" w:hAnsi="宋体"/>
        </w:rPr>
      </w:pPr>
      <w:r>
        <w:rPr>
          <w:rFonts w:hint="eastAsia" w:ascii="宋体" w:hAnsi="宋体"/>
        </w:rPr>
        <w:t>5.5.3机床必须可靠的接地，同时必须考虑防迷流措施。</w:t>
      </w:r>
    </w:p>
    <w:p w14:paraId="489E8F0B">
      <w:pPr>
        <w:spacing w:line="360" w:lineRule="auto"/>
        <w:ind w:left="569" w:hanging="569" w:hangingChars="271"/>
        <w:rPr>
          <w:rFonts w:hint="eastAsia" w:ascii="宋体" w:hAnsi="宋体"/>
        </w:rPr>
      </w:pPr>
      <w:r>
        <w:rPr>
          <w:rFonts w:hint="eastAsia" w:ascii="宋体" w:hAnsi="宋体"/>
        </w:rPr>
        <w:t>5.5.4设备具有自动防护系统，使设备出现异常情况（如误操作等）能自动起保护作用。必须设声、光警示及足够的紧急按钮，确保危险情况下紧急停车。</w:t>
      </w:r>
    </w:p>
    <w:p w14:paraId="05E26F18">
      <w:pPr>
        <w:spacing w:line="360" w:lineRule="auto"/>
        <w:ind w:left="569" w:hanging="569" w:hangingChars="271"/>
        <w:rPr>
          <w:rFonts w:hint="eastAsia" w:ascii="宋体" w:hAnsi="宋体"/>
        </w:rPr>
      </w:pPr>
      <w:r>
        <w:rPr>
          <w:rFonts w:hint="eastAsia" w:ascii="宋体" w:hAnsi="宋体"/>
        </w:rPr>
        <w:t>5.5.5要有可靠的防滑控制系统，对驱动轮和车轮之间的滑动量极限值进行监控，根据各级滑动量报警极限，控制刀具退回及主动力停止。</w:t>
      </w:r>
    </w:p>
    <w:p w14:paraId="5ACC93E1">
      <w:pPr>
        <w:spacing w:line="360" w:lineRule="auto"/>
        <w:ind w:left="569" w:hanging="569" w:hangingChars="271"/>
        <w:rPr>
          <w:rFonts w:hint="eastAsia" w:ascii="宋体" w:hAnsi="宋体"/>
        </w:rPr>
      </w:pPr>
      <w:r>
        <w:rPr>
          <w:rFonts w:hint="eastAsia" w:ascii="宋体" w:hAnsi="宋体"/>
        </w:rPr>
        <w:t>5.5.</w:t>
      </w:r>
      <w:r>
        <w:rPr>
          <w:rFonts w:ascii="宋体" w:hAnsi="宋体"/>
        </w:rPr>
        <w:t>6</w:t>
      </w:r>
      <w:r>
        <w:rPr>
          <w:rFonts w:hint="eastAsia" w:ascii="宋体" w:hAnsi="宋体"/>
        </w:rPr>
        <w:t>任何可能出现危险的位置，必须设置安全说明及安全标志，须用国际通用符号标识，或用中、英文两种文字标识。</w:t>
      </w:r>
    </w:p>
    <w:p w14:paraId="7552065C">
      <w:pPr>
        <w:tabs>
          <w:tab w:val="left" w:pos="1260"/>
        </w:tabs>
        <w:spacing w:line="360" w:lineRule="auto"/>
        <w:rPr>
          <w:rFonts w:hint="eastAsia" w:ascii="宋体" w:hAnsi="宋体"/>
        </w:rPr>
      </w:pPr>
      <w:r>
        <w:rPr>
          <w:rFonts w:hint="eastAsia" w:ascii="宋体" w:hAnsi="宋体"/>
        </w:rPr>
        <w:t>5.5</w:t>
      </w:r>
      <w:r>
        <w:rPr>
          <w:rFonts w:ascii="宋体" w:hAnsi="宋体"/>
        </w:rPr>
        <w:t>.7</w:t>
      </w:r>
      <w:r>
        <w:rPr>
          <w:rFonts w:hint="eastAsia" w:ascii="宋体" w:hAnsi="宋体"/>
        </w:rPr>
        <w:t>设备设计时要考虑设备运输、安装的起吊装置。</w:t>
      </w:r>
    </w:p>
    <w:p w14:paraId="66CAFFA4">
      <w:pPr>
        <w:spacing w:line="360" w:lineRule="auto"/>
        <w:rPr>
          <w:rFonts w:hint="eastAsia" w:ascii="宋体" w:hAnsi="宋体"/>
        </w:rPr>
      </w:pPr>
      <w:r>
        <w:rPr>
          <w:rFonts w:hint="eastAsia" w:ascii="宋体" w:hAnsi="宋体"/>
        </w:rPr>
        <w:t>5</w:t>
      </w:r>
      <w:r>
        <w:rPr>
          <w:rFonts w:ascii="宋体" w:hAnsi="宋体"/>
        </w:rPr>
        <w:t>.</w:t>
      </w:r>
      <w:r>
        <w:rPr>
          <w:rFonts w:hint="eastAsia" w:ascii="宋体" w:hAnsi="宋体"/>
        </w:rPr>
        <w:t>5</w:t>
      </w:r>
      <w:r>
        <w:rPr>
          <w:rFonts w:ascii="宋体" w:hAnsi="宋体"/>
        </w:rPr>
        <w:t>.8</w:t>
      </w:r>
      <w:r>
        <w:rPr>
          <w:rFonts w:hint="eastAsia" w:ascii="宋体" w:hAnsi="宋体"/>
        </w:rPr>
        <w:t>电气设备保护等级不低于IP54。</w:t>
      </w:r>
    </w:p>
    <w:p w14:paraId="14BE191D">
      <w:pPr>
        <w:spacing w:line="360" w:lineRule="auto"/>
        <w:ind w:left="630" w:hanging="630" w:hangingChars="300"/>
        <w:rPr>
          <w:rFonts w:hint="eastAsia" w:ascii="宋体" w:hAnsi="宋体"/>
        </w:rPr>
      </w:pPr>
      <w:r>
        <w:rPr>
          <w:rFonts w:hint="eastAsia" w:ascii="宋体" w:hAnsi="宋体"/>
        </w:rPr>
        <w:t>5</w:t>
      </w:r>
      <w:r>
        <w:rPr>
          <w:rFonts w:ascii="宋体" w:hAnsi="宋体"/>
        </w:rPr>
        <w:t>.</w:t>
      </w:r>
      <w:r>
        <w:rPr>
          <w:rFonts w:hint="eastAsia" w:ascii="宋体" w:hAnsi="宋体"/>
        </w:rPr>
        <w:t>5.9针对哈尔滨地区天气情况，作业环境温度，空气灰尘特点，采取有效的预防措施。电气柜要通风防尘和除湿。</w:t>
      </w:r>
    </w:p>
    <w:p w14:paraId="5BD61B8A">
      <w:pPr>
        <w:spacing w:line="360" w:lineRule="auto"/>
        <w:rPr>
          <w:rFonts w:hint="eastAsia" w:ascii="宋体" w:hAnsi="宋体"/>
        </w:rPr>
      </w:pPr>
      <w:r>
        <w:rPr>
          <w:rFonts w:hint="eastAsia" w:ascii="宋体" w:hAnsi="宋体"/>
        </w:rPr>
        <w:t>5</w:t>
      </w:r>
      <w:r>
        <w:rPr>
          <w:rFonts w:ascii="宋体" w:hAnsi="宋体"/>
        </w:rPr>
        <w:t>.</w:t>
      </w:r>
      <w:r>
        <w:rPr>
          <w:rFonts w:hint="eastAsia" w:ascii="宋体" w:hAnsi="宋体"/>
        </w:rPr>
        <w:t>5</w:t>
      </w:r>
      <w:r>
        <w:rPr>
          <w:rFonts w:ascii="宋体" w:hAnsi="宋体"/>
        </w:rPr>
        <w:t>.</w:t>
      </w:r>
      <w:r>
        <w:rPr>
          <w:rFonts w:hint="eastAsia" w:ascii="宋体" w:hAnsi="宋体"/>
        </w:rPr>
        <w:t>10刀架导轨、驱动磨擦轮、测量装置要有防护措施。</w:t>
      </w:r>
    </w:p>
    <w:p w14:paraId="3FEB6B34">
      <w:pPr>
        <w:spacing w:line="360" w:lineRule="auto"/>
        <w:rPr>
          <w:rFonts w:hint="eastAsia" w:ascii="宋体" w:hAnsi="宋体"/>
        </w:rPr>
      </w:pPr>
      <w:r>
        <w:rPr>
          <w:rFonts w:hint="eastAsia" w:ascii="宋体" w:hAnsi="宋体"/>
        </w:rPr>
        <w:t>5</w:t>
      </w:r>
      <w:r>
        <w:rPr>
          <w:rFonts w:ascii="宋体" w:hAnsi="宋体"/>
        </w:rPr>
        <w:t>.</w:t>
      </w:r>
      <w:r>
        <w:rPr>
          <w:rFonts w:hint="eastAsia" w:ascii="宋体" w:hAnsi="宋体"/>
        </w:rPr>
        <w:t>5</w:t>
      </w:r>
      <w:r>
        <w:rPr>
          <w:rFonts w:ascii="宋体" w:hAnsi="宋体"/>
        </w:rPr>
        <w:t>.</w:t>
      </w:r>
      <w:r>
        <w:rPr>
          <w:rFonts w:hint="eastAsia" w:ascii="宋体" w:hAnsi="宋体"/>
        </w:rPr>
        <w:t>11采取有效的防腐措施。</w:t>
      </w:r>
    </w:p>
    <w:p w14:paraId="457C7D36">
      <w:pPr>
        <w:spacing w:line="360" w:lineRule="auto"/>
        <w:rPr>
          <w:rFonts w:hint="eastAsia" w:ascii="宋体" w:hAnsi="宋体"/>
          <w:b/>
        </w:rPr>
      </w:pPr>
      <w:bookmarkStart w:id="34" w:name="_Toc13568"/>
      <w:r>
        <w:rPr>
          <w:rFonts w:hint="eastAsia" w:ascii="宋体" w:hAnsi="宋体"/>
          <w:b/>
        </w:rPr>
        <w:t>5.6环境保护</w:t>
      </w:r>
      <w:bookmarkEnd w:id="34"/>
    </w:p>
    <w:p w14:paraId="53DC59DB">
      <w:pPr>
        <w:spacing w:line="360" w:lineRule="auto"/>
        <w:ind w:firstLine="630" w:firstLineChars="300"/>
        <w:rPr>
          <w:rFonts w:hint="eastAsia" w:ascii="宋体" w:hAnsi="宋体"/>
        </w:rPr>
      </w:pPr>
      <w:r>
        <w:rPr>
          <w:rFonts w:hint="eastAsia" w:ascii="宋体" w:hAnsi="宋体"/>
        </w:rPr>
        <w:t>设备设计应符合环境保护要求，</w:t>
      </w:r>
      <w:r>
        <w:rPr>
          <w:rFonts w:hint="eastAsia" w:ascii="宋体" w:hAnsi="宋体"/>
          <w:lang w:eastAsia="zh-CN"/>
        </w:rPr>
        <w:t>供应商</w:t>
      </w:r>
      <w:r>
        <w:rPr>
          <w:rFonts w:hint="eastAsia" w:ascii="宋体" w:hAnsi="宋体"/>
        </w:rPr>
        <w:t>应说明环保要求依据标准及数值。</w:t>
      </w:r>
    </w:p>
    <w:p w14:paraId="47700D36">
      <w:pPr>
        <w:spacing w:line="360" w:lineRule="auto"/>
        <w:rPr>
          <w:rFonts w:hint="eastAsia" w:ascii="宋体" w:hAnsi="宋体"/>
          <w:b/>
        </w:rPr>
      </w:pPr>
      <w:bookmarkStart w:id="35" w:name="_Toc23232"/>
      <w:r>
        <w:rPr>
          <w:rFonts w:hint="eastAsia" w:ascii="宋体" w:hAnsi="宋体"/>
          <w:b/>
        </w:rPr>
        <w:t>5.7设备接口</w:t>
      </w:r>
      <w:bookmarkEnd w:id="35"/>
    </w:p>
    <w:p w14:paraId="30B7A49D">
      <w:pPr>
        <w:spacing w:line="360" w:lineRule="auto"/>
        <w:ind w:firstLine="420" w:firstLineChars="200"/>
        <w:rPr>
          <w:rFonts w:hint="eastAsia" w:ascii="宋体" w:hAnsi="宋体"/>
        </w:rPr>
      </w:pPr>
      <w:r>
        <w:rPr>
          <w:rFonts w:hint="eastAsia" w:ascii="宋体" w:hAnsi="宋体"/>
          <w:lang w:eastAsia="zh-CN"/>
        </w:rPr>
        <w:t>供应商</w:t>
      </w:r>
      <w:r>
        <w:rPr>
          <w:rFonts w:hint="eastAsia" w:ascii="宋体" w:hAnsi="宋体"/>
        </w:rPr>
        <w:t>除供应设备及其安装外，还应根据哈尔滨气候特点在投标文件中明确提出设备的总体布置建议方案（招标人保留修改平面布置的权利）、设备基础土建要求、给排水、通风、室内温度、设备的接地、供电容量及供电要求和接口条件，包括但不限于以下内容。</w:t>
      </w:r>
    </w:p>
    <w:p w14:paraId="1032E644">
      <w:pPr>
        <w:spacing w:line="360" w:lineRule="auto"/>
        <w:rPr>
          <w:rFonts w:hint="eastAsia" w:ascii="宋体" w:hAnsi="宋体"/>
        </w:rPr>
      </w:pPr>
      <w:r>
        <w:rPr>
          <w:rFonts w:hint="eastAsia" w:ascii="宋体" w:hAnsi="宋体"/>
        </w:rPr>
        <w:t>5.7.1与土建接口的要求</w:t>
      </w:r>
    </w:p>
    <w:p w14:paraId="0BB88045">
      <w:pPr>
        <w:spacing w:line="360" w:lineRule="auto"/>
        <w:ind w:left="630" w:leftChars="300"/>
        <w:rPr>
          <w:rFonts w:hint="eastAsia" w:ascii="宋体" w:hAnsi="宋体"/>
        </w:rPr>
      </w:pPr>
      <w:r>
        <w:rPr>
          <w:rFonts w:hint="eastAsia" w:ascii="宋体" w:hAnsi="宋体"/>
          <w:lang w:eastAsia="zh-CN"/>
        </w:rPr>
        <w:t>供应商</w:t>
      </w:r>
      <w:r>
        <w:rPr>
          <w:rFonts w:ascii="宋体" w:hAnsi="宋体"/>
        </w:rPr>
        <w:t>提供不落轮镟床安装基础图</w:t>
      </w:r>
      <w:r>
        <w:rPr>
          <w:rFonts w:hint="eastAsia" w:ascii="宋体" w:hAnsi="宋体"/>
        </w:rPr>
        <w:t>，</w:t>
      </w:r>
      <w:r>
        <w:rPr>
          <w:rFonts w:ascii="宋体" w:hAnsi="宋体"/>
        </w:rPr>
        <w:t>设计院完成不落轮镟床</w:t>
      </w:r>
      <w:r>
        <w:rPr>
          <w:rFonts w:hint="eastAsia" w:ascii="宋体" w:hAnsi="宋体"/>
        </w:rPr>
        <w:t>基础</w:t>
      </w:r>
      <w:r>
        <w:rPr>
          <w:rFonts w:ascii="宋体" w:hAnsi="宋体"/>
        </w:rPr>
        <w:t>施工图设计</w:t>
      </w:r>
      <w:r>
        <w:rPr>
          <w:rFonts w:hint="eastAsia" w:ascii="宋体" w:hAnsi="宋体"/>
        </w:rPr>
        <w:t>，镟轮库土建基础施工图必须经</w:t>
      </w:r>
      <w:r>
        <w:rPr>
          <w:rFonts w:hint="eastAsia" w:ascii="宋体" w:hAnsi="宋体"/>
          <w:lang w:eastAsia="zh-CN"/>
        </w:rPr>
        <w:t>供应商</w:t>
      </w:r>
      <w:r>
        <w:rPr>
          <w:rFonts w:hint="eastAsia" w:ascii="宋体" w:hAnsi="宋体"/>
        </w:rPr>
        <w:t>签字确认后，方可实施。土建施工开始时，</w:t>
      </w:r>
      <w:r>
        <w:rPr>
          <w:rFonts w:hint="eastAsia" w:ascii="宋体" w:hAnsi="宋体"/>
          <w:lang w:eastAsia="zh-CN"/>
        </w:rPr>
        <w:t>供应商</w:t>
      </w:r>
      <w:r>
        <w:rPr>
          <w:rFonts w:hint="eastAsia" w:ascii="宋体" w:hAnsi="宋体"/>
        </w:rPr>
        <w:t>到施工现场参加土建施工的技术交底会，对照施工图纸向施工单位提出施工技术要求。镟轮库土建基础施工完成后，</w:t>
      </w:r>
      <w:r>
        <w:rPr>
          <w:rFonts w:hint="eastAsia" w:ascii="宋体" w:hAnsi="宋体"/>
          <w:lang w:eastAsia="zh-CN"/>
        </w:rPr>
        <w:t>供应商</w:t>
      </w:r>
      <w:r>
        <w:rPr>
          <w:rFonts w:hint="eastAsia" w:ascii="宋体" w:hAnsi="宋体"/>
        </w:rPr>
        <w:t>必须派人对机床土建基础和动能接口进行测量、检查和验收，检验合格后</w:t>
      </w:r>
      <w:r>
        <w:rPr>
          <w:rFonts w:hint="eastAsia" w:ascii="宋体" w:hAnsi="宋体"/>
          <w:lang w:eastAsia="zh-CN"/>
        </w:rPr>
        <w:t>供应商</w:t>
      </w:r>
      <w:r>
        <w:rPr>
          <w:rFonts w:hint="eastAsia" w:ascii="宋体" w:hAnsi="宋体"/>
        </w:rPr>
        <w:t>签字确认。</w:t>
      </w:r>
    </w:p>
    <w:p w14:paraId="401D8812">
      <w:pPr>
        <w:spacing w:line="360" w:lineRule="auto"/>
        <w:rPr>
          <w:rFonts w:hint="eastAsia" w:ascii="宋体" w:hAnsi="宋体"/>
        </w:rPr>
      </w:pPr>
      <w:r>
        <w:rPr>
          <w:rFonts w:hint="eastAsia" w:ascii="宋体" w:hAnsi="宋体"/>
        </w:rPr>
        <w:t>5.7.2与供电接口的要求：</w:t>
      </w:r>
    </w:p>
    <w:p w14:paraId="47F9EC6F">
      <w:pPr>
        <w:spacing w:line="360" w:lineRule="auto"/>
        <w:ind w:left="630" w:leftChars="300"/>
        <w:rPr>
          <w:rFonts w:hint="eastAsia" w:ascii="宋体" w:hAnsi="宋体"/>
        </w:rPr>
      </w:pPr>
      <w:r>
        <w:rPr>
          <w:rFonts w:hint="eastAsia" w:ascii="宋体" w:hAnsi="宋体"/>
          <w:lang w:eastAsia="zh-CN"/>
        </w:rPr>
        <w:t>供应商</w:t>
      </w:r>
      <w:r>
        <w:rPr>
          <w:rFonts w:hint="eastAsia" w:ascii="宋体" w:hAnsi="宋体"/>
        </w:rPr>
        <w:t>负责提供所供设备的电源进线电缆，并负责将其接至所供设备控制柜接线端子及配电箱电源插座，设备及设备系统内部的电力配线由</w:t>
      </w:r>
      <w:r>
        <w:rPr>
          <w:rFonts w:hint="eastAsia" w:ascii="宋体" w:hAnsi="宋体"/>
          <w:lang w:eastAsia="zh-CN"/>
        </w:rPr>
        <w:t>供应商</w:t>
      </w:r>
      <w:r>
        <w:rPr>
          <w:rFonts w:hint="eastAsia" w:ascii="宋体" w:hAnsi="宋体"/>
        </w:rPr>
        <w:t>负责。</w:t>
      </w:r>
    </w:p>
    <w:p w14:paraId="59F04C9E">
      <w:pPr>
        <w:spacing w:line="360" w:lineRule="auto"/>
        <w:rPr>
          <w:rFonts w:hint="eastAsia" w:ascii="宋体" w:hAnsi="宋体"/>
        </w:rPr>
      </w:pPr>
      <w:r>
        <w:rPr>
          <w:rFonts w:hint="eastAsia" w:ascii="宋体" w:hAnsi="宋体"/>
        </w:rPr>
        <w:t>5.7.3与车辆接口的要求</w:t>
      </w:r>
    </w:p>
    <w:p w14:paraId="72B8319F">
      <w:pPr>
        <w:spacing w:line="360" w:lineRule="auto"/>
        <w:ind w:left="630" w:leftChars="300"/>
        <w:rPr>
          <w:rFonts w:hint="eastAsia" w:ascii="宋体" w:hAnsi="宋体"/>
        </w:rPr>
      </w:pPr>
      <w:r>
        <w:rPr>
          <w:rFonts w:hint="eastAsia" w:ascii="宋体" w:hAnsi="宋体"/>
          <w:lang w:eastAsia="zh-CN"/>
        </w:rPr>
        <w:t>供应商</w:t>
      </w:r>
      <w:r>
        <w:rPr>
          <w:rFonts w:hint="eastAsia" w:ascii="宋体" w:hAnsi="宋体"/>
        </w:rPr>
        <w:t>应在投标文件中提供整列车、单个转向架及单个轮对三种工况下镟修作业相关接口的要求，轴箱支撑装置和压下装置，满足车辆轮对外轴箱的接口要求。</w:t>
      </w:r>
    </w:p>
    <w:p w14:paraId="1F549401">
      <w:pPr>
        <w:spacing w:line="360" w:lineRule="auto"/>
        <w:rPr>
          <w:rFonts w:hint="eastAsia" w:ascii="宋体" w:hAnsi="宋体"/>
        </w:rPr>
      </w:pPr>
      <w:r>
        <w:rPr>
          <w:rFonts w:hint="eastAsia" w:ascii="宋体" w:hAnsi="宋体"/>
        </w:rPr>
        <w:t>5.7.4如有用气要求，</w:t>
      </w:r>
      <w:r>
        <w:rPr>
          <w:rFonts w:hint="eastAsia" w:ascii="宋体" w:hAnsi="宋体"/>
          <w:lang w:eastAsia="zh-CN"/>
        </w:rPr>
        <w:t>供应商</w:t>
      </w:r>
      <w:r>
        <w:rPr>
          <w:rFonts w:hint="eastAsia" w:ascii="宋体" w:hAnsi="宋体"/>
        </w:rPr>
        <w:t>应自行提供。</w:t>
      </w:r>
    </w:p>
    <w:p w14:paraId="0ABEABEE">
      <w:pPr>
        <w:spacing w:line="360" w:lineRule="auto"/>
        <w:ind w:firstLine="422" w:firstLineChars="200"/>
        <w:rPr>
          <w:rFonts w:hint="eastAsia" w:ascii="宋体" w:hAnsi="宋体"/>
          <w:b/>
        </w:rPr>
      </w:pPr>
      <w:r>
        <w:rPr>
          <w:rFonts w:hint="eastAsia" w:ascii="宋体" w:hAnsi="宋体"/>
          <w:b/>
          <w:lang w:eastAsia="zh-CN"/>
        </w:rPr>
        <w:t>供应商</w:t>
      </w:r>
      <w:r>
        <w:rPr>
          <w:rFonts w:hint="eastAsia" w:ascii="宋体" w:hAnsi="宋体"/>
          <w:b/>
        </w:rPr>
        <w:t>除完全响应以上接口要求外，其它未尽接口要求，</w:t>
      </w:r>
      <w:r>
        <w:rPr>
          <w:rFonts w:hint="eastAsia" w:ascii="宋体" w:hAnsi="宋体"/>
          <w:b/>
          <w:lang w:eastAsia="zh-CN"/>
        </w:rPr>
        <w:t>供应商</w:t>
      </w:r>
      <w:r>
        <w:rPr>
          <w:rFonts w:hint="eastAsia" w:ascii="宋体" w:hAnsi="宋体"/>
          <w:b/>
        </w:rPr>
        <w:t>应在投标文件中明确提出及合理解决方案，如因</w:t>
      </w:r>
      <w:r>
        <w:rPr>
          <w:rFonts w:hint="eastAsia" w:ascii="宋体" w:hAnsi="宋体"/>
          <w:b/>
          <w:lang w:eastAsia="zh-CN"/>
        </w:rPr>
        <w:t>供应商</w:t>
      </w:r>
      <w:r>
        <w:rPr>
          <w:rFonts w:hint="eastAsia" w:ascii="宋体" w:hAnsi="宋体"/>
          <w:b/>
        </w:rPr>
        <w:t>未提及，相应的费用由</w:t>
      </w:r>
      <w:r>
        <w:rPr>
          <w:rFonts w:hint="eastAsia" w:ascii="宋体" w:hAnsi="宋体"/>
          <w:b/>
          <w:lang w:eastAsia="zh-CN"/>
        </w:rPr>
        <w:t>供应商</w:t>
      </w:r>
      <w:r>
        <w:rPr>
          <w:rFonts w:hint="eastAsia" w:ascii="宋体" w:hAnsi="宋体"/>
          <w:b/>
        </w:rPr>
        <w:t>负责。</w:t>
      </w:r>
    </w:p>
    <w:p w14:paraId="4FD67A77">
      <w:pPr>
        <w:spacing w:line="360" w:lineRule="auto"/>
        <w:ind w:firstLine="420" w:firstLineChars="200"/>
        <w:rPr>
          <w:rFonts w:hint="eastAsia" w:ascii="宋体" w:hAnsi="宋体"/>
        </w:rPr>
      </w:pPr>
      <w:r>
        <w:rPr>
          <w:rFonts w:hint="eastAsia" w:ascii="宋体" w:hAnsi="宋体"/>
        </w:rPr>
        <w:t>设备安装条件详见附图“镟轮库示意图”。</w:t>
      </w:r>
    </w:p>
    <w:p w14:paraId="7224F920">
      <w:pPr>
        <w:pStyle w:val="11"/>
        <w:rPr>
          <w:rFonts w:hint="eastAsia" w:ascii="宋体" w:hAnsi="宋体"/>
          <w:sz w:val="21"/>
        </w:rPr>
      </w:pPr>
      <w:bookmarkStart w:id="36" w:name="_Toc5112173"/>
      <w:bookmarkStart w:id="37" w:name="_Toc38273397"/>
      <w:bookmarkStart w:id="38" w:name="_Toc19746"/>
      <w:bookmarkStart w:id="39" w:name="_Toc21931"/>
      <w:bookmarkStart w:id="40" w:name="_Toc25454"/>
      <w:r>
        <w:rPr>
          <w:rFonts w:hint="eastAsia" w:ascii="宋体" w:hAnsi="宋体"/>
          <w:sz w:val="21"/>
        </w:rPr>
        <w:t>6.供货范围</w:t>
      </w:r>
      <w:bookmarkEnd w:id="36"/>
      <w:bookmarkEnd w:id="37"/>
      <w:bookmarkEnd w:id="38"/>
      <w:bookmarkEnd w:id="39"/>
      <w:bookmarkEnd w:id="40"/>
    </w:p>
    <w:p w14:paraId="0F762EEC">
      <w:pPr>
        <w:adjustRightInd w:val="0"/>
        <w:snapToGrid w:val="0"/>
        <w:spacing w:line="360" w:lineRule="auto"/>
        <w:ind w:left="840" w:hanging="840" w:hangingChars="400"/>
        <w:rPr>
          <w:rFonts w:hint="eastAsia" w:ascii="宋体" w:hAnsi="宋体"/>
        </w:rPr>
      </w:pPr>
      <w:r>
        <w:rPr>
          <w:rFonts w:hint="eastAsia" w:ascii="宋体" w:hAnsi="宋体" w:cs="Arial"/>
          <w:bCs/>
        </w:rPr>
        <w:t>6.1</w:t>
      </w:r>
      <w:r>
        <w:rPr>
          <w:rFonts w:hint="eastAsia" w:ascii="宋体" w:hAnsi="宋体" w:cs="Arial"/>
          <w:bCs/>
        </w:rPr>
        <w:tab/>
      </w:r>
      <w:r>
        <w:rPr>
          <w:rFonts w:hint="eastAsia" w:ascii="宋体" w:hAnsi="宋体" w:cs="Arial"/>
          <w:bCs/>
          <w:lang w:eastAsia="zh-CN"/>
        </w:rPr>
        <w:t>供应商</w:t>
      </w:r>
      <w:r>
        <w:rPr>
          <w:rFonts w:hint="eastAsia" w:ascii="宋体" w:hAnsi="宋体" w:cs="Arial"/>
          <w:bCs/>
        </w:rPr>
        <w:t>提供的设备（详见“2.招标要求”）是全新的、完整符合合同要求的</w:t>
      </w:r>
      <w:r>
        <w:rPr>
          <w:rFonts w:hint="eastAsia" w:ascii="宋体" w:hAnsi="宋体"/>
        </w:rPr>
        <w:t>。</w:t>
      </w:r>
    </w:p>
    <w:p w14:paraId="43F2D599">
      <w:pPr>
        <w:pStyle w:val="5"/>
        <w:adjustRightInd w:val="0"/>
        <w:snapToGrid w:val="0"/>
        <w:ind w:left="840" w:hanging="840" w:hangingChars="400"/>
        <w:rPr>
          <w:rFonts w:hint="eastAsia" w:cs="Arial"/>
          <w:bCs/>
          <w:sz w:val="21"/>
          <w:szCs w:val="21"/>
          <w:highlight w:val="yellow"/>
        </w:rPr>
      </w:pPr>
      <w:r>
        <w:rPr>
          <w:rFonts w:hint="eastAsia" w:cs="Arial"/>
          <w:bCs/>
          <w:sz w:val="21"/>
          <w:szCs w:val="21"/>
        </w:rPr>
        <w:t>6.2</w:t>
      </w:r>
      <w:r>
        <w:rPr>
          <w:rFonts w:hint="eastAsia" w:cs="Arial"/>
          <w:bCs/>
          <w:sz w:val="21"/>
          <w:szCs w:val="21"/>
        </w:rPr>
        <w:tab/>
      </w:r>
      <w:r>
        <w:rPr>
          <w:rFonts w:hint="eastAsia" w:cs="Arial"/>
          <w:sz w:val="21"/>
          <w:szCs w:val="22"/>
          <w:lang w:eastAsia="zh-CN"/>
        </w:rPr>
        <w:t>供应商</w:t>
      </w:r>
      <w:r>
        <w:rPr>
          <w:rFonts w:cs="Arial"/>
          <w:sz w:val="21"/>
          <w:szCs w:val="22"/>
        </w:rPr>
        <w:t>提供的设备需配备国内或国际知名品牌的笔记本电脑1台和打印机1台，用于编程、作业记录下载、故障诊断，并安装配套的编程、诊断软件，该软件不得设置有效期，需永久有效。</w:t>
      </w:r>
    </w:p>
    <w:p w14:paraId="55F91B75">
      <w:pPr>
        <w:adjustRightInd w:val="0"/>
        <w:snapToGrid w:val="0"/>
        <w:spacing w:line="360" w:lineRule="auto"/>
        <w:ind w:left="840" w:hanging="840" w:hangingChars="400"/>
        <w:rPr>
          <w:rFonts w:hint="eastAsia" w:ascii="宋体" w:hAnsi="宋体" w:cs="Arial"/>
        </w:rPr>
      </w:pPr>
      <w:r>
        <w:rPr>
          <w:rFonts w:hint="eastAsia" w:ascii="宋体" w:hAnsi="宋体"/>
        </w:rPr>
        <w:t>6.3</w:t>
      </w:r>
      <w:r>
        <w:rPr>
          <w:rFonts w:hint="eastAsia" w:ascii="宋体" w:hAnsi="宋体"/>
        </w:rPr>
        <w:tab/>
      </w:r>
      <w:r>
        <w:rPr>
          <w:rFonts w:hint="eastAsia" w:ascii="宋体" w:hAnsi="宋体" w:cs="Arial"/>
          <w:lang w:eastAsia="zh-CN"/>
        </w:rPr>
        <w:t>供应商</w:t>
      </w:r>
      <w:r>
        <w:rPr>
          <w:rFonts w:ascii="宋体" w:hAnsi="宋体" w:cs="Arial"/>
        </w:rPr>
        <w:t>提供校正轴（标准轮对）</w:t>
      </w:r>
      <w:r>
        <w:rPr>
          <w:rFonts w:hint="eastAsia" w:ascii="宋体" w:hAnsi="宋体" w:cs="Arial"/>
        </w:rPr>
        <w:t>和试切轮对（试切轮对应为直径不小于840mm的轮对）</w:t>
      </w:r>
      <w:r>
        <w:rPr>
          <w:rFonts w:ascii="宋体" w:hAnsi="宋体" w:cs="Arial"/>
        </w:rPr>
        <w:t>，以便于对机床的测量装置进行调校。校正轴上带有能在机床上安装定位的接口。提供能够乘载校正轴和试切轮对的支架（两个）以及防尘罩（两个）。</w:t>
      </w:r>
    </w:p>
    <w:p w14:paraId="509F3F47">
      <w:pPr>
        <w:adjustRightInd w:val="0"/>
        <w:snapToGrid w:val="0"/>
        <w:spacing w:line="360" w:lineRule="auto"/>
        <w:ind w:left="840" w:hanging="840" w:hangingChars="400"/>
        <w:rPr>
          <w:rFonts w:hint="eastAsia" w:ascii="宋体" w:hAnsi="宋体" w:cs="Arial"/>
          <w:bCs/>
        </w:rPr>
      </w:pPr>
      <w:r>
        <w:rPr>
          <w:rFonts w:hint="eastAsia" w:ascii="宋体" w:hAnsi="宋体"/>
        </w:rPr>
        <w:t>6.4</w:t>
      </w:r>
      <w:r>
        <w:rPr>
          <w:rFonts w:hint="eastAsia" w:ascii="宋体" w:hAnsi="宋体" w:cs="Arial"/>
        </w:rPr>
        <w:tab/>
      </w:r>
      <w:r>
        <w:rPr>
          <w:rFonts w:hint="eastAsia" w:ascii="宋体" w:hAnsi="宋体" w:cs="Arial"/>
          <w:lang w:eastAsia="zh-CN"/>
        </w:rPr>
        <w:t>供应商</w:t>
      </w:r>
      <w:r>
        <w:rPr>
          <w:rFonts w:ascii="宋体" w:hAnsi="宋体" w:cs="Arial"/>
        </w:rPr>
        <w:t>提供</w:t>
      </w:r>
      <w:r>
        <w:rPr>
          <w:rFonts w:hint="eastAsia" w:ascii="宋体" w:hAnsi="宋体" w:cs="Arial"/>
        </w:rPr>
        <w:t>机床</w:t>
      </w:r>
      <w:r>
        <w:rPr>
          <w:rFonts w:ascii="宋体" w:hAnsi="宋体" w:cs="Arial"/>
        </w:rPr>
        <w:t>排屑用容屑小车</w:t>
      </w:r>
      <w:r>
        <w:rPr>
          <w:rFonts w:hint="eastAsia" w:ascii="宋体" w:hAnsi="宋体" w:cs="Arial"/>
        </w:rPr>
        <w:t>。</w:t>
      </w:r>
    </w:p>
    <w:p w14:paraId="084B7697">
      <w:pPr>
        <w:adjustRightInd w:val="0"/>
        <w:snapToGrid w:val="0"/>
        <w:spacing w:line="360" w:lineRule="auto"/>
        <w:ind w:left="840" w:hanging="840" w:hangingChars="400"/>
        <w:rPr>
          <w:rFonts w:hint="eastAsia" w:ascii="宋体" w:hAnsi="宋体" w:cs="Arial"/>
          <w:bCs/>
        </w:rPr>
      </w:pPr>
      <w:r>
        <w:rPr>
          <w:rFonts w:hint="eastAsia" w:ascii="宋体" w:hAnsi="宋体"/>
        </w:rPr>
        <w:t>6.5</w:t>
      </w:r>
      <w:r>
        <w:rPr>
          <w:rFonts w:hint="eastAsia" w:ascii="宋体" w:hAnsi="宋体"/>
        </w:rPr>
        <w:tab/>
      </w:r>
      <w:r>
        <w:rPr>
          <w:rFonts w:hint="eastAsia" w:ascii="宋体" w:hAnsi="宋体"/>
        </w:rPr>
        <w:t>列出备品备件、易耗品、外购件清单，该清单需包括名称、型号、数量、生产厂家、含税单价。备品备件价格应为设备费的3%。</w:t>
      </w:r>
      <w:r>
        <w:rPr>
          <w:rFonts w:hint="eastAsia" w:ascii="宋体" w:hAnsi="宋体"/>
          <w:lang w:eastAsia="zh-CN"/>
        </w:rPr>
        <w:t>供应商</w:t>
      </w:r>
      <w:r>
        <w:rPr>
          <w:rFonts w:hint="eastAsia" w:ascii="宋体" w:hAnsi="宋体"/>
        </w:rPr>
        <w:t>提供详细备品备件清单，清单要求细化到最小部件，供货备品备件清单由该设备最终使用方与中标方在合同谈判阶段确定，费用不大于备品备件投标报价。</w:t>
      </w:r>
      <w:r>
        <w:rPr>
          <w:rFonts w:hint="eastAsia" w:ascii="宋体" w:hAnsi="宋体"/>
          <w:lang w:eastAsia="zh-CN"/>
        </w:rPr>
        <w:t>供应商</w:t>
      </w:r>
      <w:r>
        <w:rPr>
          <w:rFonts w:hint="eastAsia" w:ascii="宋体" w:hAnsi="宋体"/>
        </w:rPr>
        <w:t>应承诺备品备件单价在质保期结束后5年内不高于合同供货单价。</w:t>
      </w:r>
    </w:p>
    <w:p w14:paraId="521132A1">
      <w:pPr>
        <w:adjustRightInd w:val="0"/>
        <w:snapToGrid w:val="0"/>
        <w:spacing w:line="360" w:lineRule="auto"/>
        <w:ind w:left="840" w:hanging="840" w:hangingChars="400"/>
        <w:rPr>
          <w:rFonts w:hint="eastAsia" w:ascii="宋体" w:hAnsi="宋体" w:cs="Arial"/>
          <w:bCs/>
        </w:rPr>
      </w:pPr>
      <w:r>
        <w:rPr>
          <w:rFonts w:hint="eastAsia" w:ascii="宋体" w:hAnsi="宋体"/>
        </w:rPr>
        <w:t>6.6</w:t>
      </w:r>
      <w:r>
        <w:rPr>
          <w:rFonts w:hint="eastAsia" w:ascii="宋体" w:hAnsi="宋体"/>
        </w:rPr>
        <w:tab/>
      </w:r>
      <w:r>
        <w:rPr>
          <w:rFonts w:hint="eastAsia" w:ascii="宋体" w:hAnsi="宋体"/>
        </w:rPr>
        <w:t>列出易耗品包括：润滑脂、润滑油和刀片等消耗品的牌号和生产厂家联系方式和采购渠道（包括</w:t>
      </w:r>
      <w:r>
        <w:rPr>
          <w:rFonts w:ascii="宋体" w:hAnsi="宋体" w:cs="Arial"/>
        </w:rPr>
        <w:t>中国境内的生产厂家</w:t>
      </w:r>
      <w:r>
        <w:rPr>
          <w:rFonts w:hint="eastAsia" w:ascii="宋体" w:hAnsi="宋体"/>
        </w:rPr>
        <w:t>）。</w:t>
      </w:r>
    </w:p>
    <w:p w14:paraId="78D03808">
      <w:pPr>
        <w:spacing w:line="360" w:lineRule="auto"/>
        <w:ind w:left="840" w:hanging="840" w:hangingChars="400"/>
        <w:rPr>
          <w:rFonts w:hint="eastAsia" w:ascii="宋体" w:hAnsi="宋体"/>
        </w:rPr>
      </w:pPr>
      <w:r>
        <w:rPr>
          <w:rFonts w:hint="eastAsia" w:ascii="宋体" w:hAnsi="宋体"/>
        </w:rPr>
        <w:t>6.7</w:t>
      </w:r>
      <w:r>
        <w:rPr>
          <w:rFonts w:hint="eastAsia" w:ascii="宋体" w:hAnsi="宋体"/>
        </w:rPr>
        <w:tab/>
      </w:r>
      <w:r>
        <w:rPr>
          <w:rFonts w:hint="eastAsia" w:ascii="宋体" w:hAnsi="宋体"/>
        </w:rPr>
        <w:t>列出主机、配套设备、随机附件、专用工具、测试设备等清单，包括名称、型号、数量、生产厂家。</w:t>
      </w:r>
    </w:p>
    <w:p w14:paraId="67027A2C">
      <w:pPr>
        <w:spacing w:line="360" w:lineRule="auto"/>
        <w:ind w:left="840" w:hanging="840" w:hangingChars="400"/>
        <w:rPr>
          <w:rFonts w:hint="eastAsia" w:ascii="宋体" w:hAnsi="宋体"/>
        </w:rPr>
      </w:pPr>
      <w:r>
        <w:rPr>
          <w:rFonts w:hint="eastAsia" w:ascii="宋体" w:hAnsi="宋体"/>
        </w:rPr>
        <w:t>6.8</w:t>
      </w:r>
      <w:r>
        <w:rPr>
          <w:rFonts w:hint="eastAsia" w:ascii="宋体" w:hAnsi="宋体"/>
        </w:rPr>
        <w:tab/>
      </w:r>
      <w:r>
        <w:rPr>
          <w:rFonts w:hint="eastAsia" w:ascii="宋体" w:hAnsi="宋体"/>
        </w:rPr>
        <w:t>提供并列出必要的软件及配套光盘（程序备份软盘、连接硬件及恢复设备数据的工具）。</w:t>
      </w:r>
    </w:p>
    <w:p w14:paraId="6515E025">
      <w:pPr>
        <w:adjustRightInd w:val="0"/>
        <w:snapToGrid w:val="0"/>
        <w:spacing w:line="360" w:lineRule="auto"/>
        <w:rPr>
          <w:rFonts w:hint="eastAsia" w:ascii="宋体" w:hAnsi="宋体"/>
        </w:rPr>
      </w:pPr>
      <w:r>
        <w:rPr>
          <w:rFonts w:hint="eastAsia" w:ascii="宋体" w:hAnsi="宋体"/>
        </w:rPr>
        <w:t>6.9</w:t>
      </w:r>
      <w:r>
        <w:rPr>
          <w:rFonts w:hint="eastAsia" w:ascii="宋体" w:hAnsi="宋体"/>
        </w:rPr>
        <w:tab/>
      </w:r>
      <w:r>
        <w:rPr>
          <w:rFonts w:hint="eastAsia" w:ascii="宋体" w:hAnsi="宋体"/>
        </w:rPr>
        <w:tab/>
      </w:r>
      <w:r>
        <w:rPr>
          <w:rFonts w:hint="eastAsia" w:ascii="宋体" w:hAnsi="宋体"/>
        </w:rPr>
        <w:t>列出提供的技术文件和图纸清单，包括名称、数量。</w:t>
      </w:r>
    </w:p>
    <w:p w14:paraId="1344D671">
      <w:pPr>
        <w:adjustRightInd w:val="0"/>
        <w:snapToGrid w:val="0"/>
        <w:spacing w:line="360" w:lineRule="auto"/>
        <w:ind w:left="840" w:hanging="840" w:hangingChars="400"/>
        <w:rPr>
          <w:rFonts w:hint="eastAsia" w:ascii="宋体" w:hAnsi="宋体"/>
        </w:rPr>
      </w:pPr>
      <w:r>
        <w:rPr>
          <w:rFonts w:hint="eastAsia" w:ascii="宋体" w:hAnsi="宋体"/>
        </w:rPr>
        <w:t xml:space="preserve">6.10    </w:t>
      </w:r>
      <w:r>
        <w:rPr>
          <w:rFonts w:hint="eastAsia" w:ascii="宋体" w:hAnsi="宋体"/>
          <w:lang w:eastAsia="zh-CN"/>
        </w:rPr>
        <w:t>供应商</w:t>
      </w:r>
      <w:r>
        <w:rPr>
          <w:rFonts w:hint="eastAsia" w:ascii="宋体" w:hAnsi="宋体"/>
        </w:rPr>
        <w:t>需提供国内或国际主流品牌的设备维修专用工器具一套，能满足用户对镟床进行日常维修，大修，中修，故障修等相关应用场景。</w:t>
      </w:r>
    </w:p>
    <w:p w14:paraId="52E36F36">
      <w:pPr>
        <w:adjustRightInd w:val="0"/>
        <w:snapToGrid w:val="0"/>
        <w:spacing w:line="360" w:lineRule="auto"/>
        <w:ind w:left="840" w:hanging="840" w:hangingChars="400"/>
        <w:rPr>
          <w:rFonts w:hint="eastAsia" w:ascii="宋体" w:hAnsi="宋体"/>
        </w:rPr>
      </w:pPr>
      <w:r>
        <w:rPr>
          <w:rFonts w:hint="eastAsia" w:ascii="宋体" w:hAnsi="宋体" w:cs="Arial"/>
        </w:rPr>
        <w:t xml:space="preserve">6.11    </w:t>
      </w:r>
      <w:r>
        <w:rPr>
          <w:rFonts w:ascii="宋体" w:hAnsi="宋体" w:cs="Arial"/>
        </w:rPr>
        <w:t>提供现场</w:t>
      </w:r>
      <w:r>
        <w:rPr>
          <w:rFonts w:hint="eastAsia" w:ascii="宋体" w:hAnsi="宋体" w:cs="Arial"/>
        </w:rPr>
        <w:t>车辆（含电客车、工程车、平板车）相配套的</w:t>
      </w:r>
      <w:r>
        <w:rPr>
          <w:rFonts w:ascii="宋体" w:hAnsi="宋体" w:cs="Arial"/>
        </w:rPr>
        <w:t>夹紧</w:t>
      </w:r>
      <w:r>
        <w:rPr>
          <w:rFonts w:hint="eastAsia" w:ascii="宋体" w:hAnsi="宋体" w:cs="Arial"/>
        </w:rPr>
        <w:t>夹爪</w:t>
      </w:r>
      <w:r>
        <w:rPr>
          <w:rFonts w:ascii="宋体" w:hAnsi="宋体" w:cs="Arial"/>
        </w:rPr>
        <w:t>和顶靠夹爪</w:t>
      </w:r>
      <w:r>
        <w:rPr>
          <w:rFonts w:hint="eastAsia" w:ascii="宋体" w:hAnsi="宋体" w:cs="Arial"/>
        </w:rPr>
        <w:t>各一套</w:t>
      </w:r>
      <w:r>
        <w:rPr>
          <w:rFonts w:ascii="宋体" w:hAnsi="宋体" w:cs="Arial"/>
        </w:rPr>
        <w:t>。</w:t>
      </w:r>
    </w:p>
    <w:p w14:paraId="7A2E535D">
      <w:pPr>
        <w:adjustRightInd w:val="0"/>
        <w:snapToGrid w:val="0"/>
        <w:spacing w:line="360" w:lineRule="auto"/>
        <w:ind w:left="840" w:hanging="840" w:hangingChars="400"/>
        <w:rPr>
          <w:rFonts w:hint="eastAsia" w:ascii="宋体" w:hAnsi="宋体"/>
        </w:rPr>
      </w:pPr>
      <w:r>
        <w:rPr>
          <w:rFonts w:hint="eastAsia" w:ascii="宋体" w:hAnsi="宋体"/>
        </w:rPr>
        <w:t>6.12</w:t>
      </w:r>
      <w:r>
        <w:rPr>
          <w:rFonts w:hint="eastAsia" w:ascii="宋体" w:hAnsi="宋体"/>
        </w:rPr>
        <w:tab/>
      </w:r>
      <w:r>
        <w:rPr>
          <w:rFonts w:hint="eastAsia" w:ascii="宋体" w:hAnsi="宋体"/>
          <w:lang w:eastAsia="zh-CN"/>
        </w:rPr>
        <w:t>供应商在投标阶段需提供以下备品备件、专用工具(包含但不限于以下内容)的分项报价。</w:t>
      </w:r>
      <w:bookmarkStart w:id="210" w:name="_GoBack"/>
      <w:bookmarkEnd w:id="210"/>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6"/>
        <w:gridCol w:w="4050"/>
        <w:gridCol w:w="1742"/>
        <w:gridCol w:w="1602"/>
      </w:tblGrid>
      <w:tr w14:paraId="7BC7A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center"/>
          </w:tcPr>
          <w:p w14:paraId="5E411470">
            <w:pPr>
              <w:widowControl/>
              <w:spacing w:line="360" w:lineRule="auto"/>
              <w:jc w:val="center"/>
              <w:rPr>
                <w:rFonts w:hint="eastAsia" w:ascii="宋体" w:hAnsi="宋体" w:cs="宋体"/>
                <w:b/>
                <w:kern w:val="0"/>
              </w:rPr>
            </w:pPr>
            <w:r>
              <w:rPr>
                <w:rFonts w:hint="eastAsia" w:ascii="宋体" w:hAnsi="宋体" w:cs="宋体"/>
                <w:b/>
                <w:kern w:val="0"/>
              </w:rPr>
              <w:t>物料名称</w:t>
            </w:r>
          </w:p>
        </w:tc>
        <w:tc>
          <w:tcPr>
            <w:tcW w:w="2174" w:type="pct"/>
            <w:shd w:val="clear" w:color="auto" w:fill="auto"/>
            <w:vAlign w:val="center"/>
          </w:tcPr>
          <w:p w14:paraId="01B9FE0F">
            <w:pPr>
              <w:widowControl/>
              <w:spacing w:line="360" w:lineRule="auto"/>
              <w:jc w:val="center"/>
              <w:rPr>
                <w:rFonts w:hint="eastAsia" w:ascii="宋体" w:hAnsi="宋体" w:cs="宋体"/>
                <w:b/>
                <w:kern w:val="0"/>
              </w:rPr>
            </w:pPr>
            <w:r>
              <w:rPr>
                <w:rFonts w:hint="eastAsia" w:ascii="宋体" w:hAnsi="宋体" w:cs="宋体"/>
                <w:b/>
                <w:kern w:val="0"/>
              </w:rPr>
              <w:t>规格型号</w:t>
            </w:r>
          </w:p>
        </w:tc>
        <w:tc>
          <w:tcPr>
            <w:tcW w:w="935" w:type="pct"/>
          </w:tcPr>
          <w:p w14:paraId="5754321B">
            <w:pPr>
              <w:widowControl/>
              <w:spacing w:line="360" w:lineRule="auto"/>
              <w:jc w:val="center"/>
              <w:rPr>
                <w:rFonts w:hint="eastAsia" w:ascii="宋体" w:hAnsi="宋体" w:cs="宋体"/>
                <w:b/>
                <w:kern w:val="0"/>
              </w:rPr>
            </w:pPr>
            <w:r>
              <w:rPr>
                <w:rFonts w:hint="eastAsia" w:ascii="宋体" w:hAnsi="宋体" w:cs="宋体"/>
                <w:b/>
                <w:kern w:val="0"/>
              </w:rPr>
              <w:t>品牌</w:t>
            </w:r>
          </w:p>
        </w:tc>
        <w:tc>
          <w:tcPr>
            <w:tcW w:w="860" w:type="pct"/>
            <w:shd w:val="clear" w:color="auto" w:fill="auto"/>
            <w:vAlign w:val="center"/>
          </w:tcPr>
          <w:p w14:paraId="5413198A">
            <w:pPr>
              <w:widowControl/>
              <w:spacing w:line="360" w:lineRule="auto"/>
              <w:jc w:val="center"/>
              <w:rPr>
                <w:rFonts w:hint="eastAsia" w:ascii="宋体" w:hAnsi="宋体" w:cs="宋体"/>
                <w:b/>
                <w:kern w:val="0"/>
              </w:rPr>
            </w:pPr>
            <w:r>
              <w:rPr>
                <w:rFonts w:hint="eastAsia" w:ascii="宋体" w:hAnsi="宋体" w:cs="宋体"/>
                <w:b/>
                <w:kern w:val="0"/>
              </w:rPr>
              <w:t>单价（含税）</w:t>
            </w:r>
          </w:p>
        </w:tc>
      </w:tr>
      <w:tr w14:paraId="10FF7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bottom"/>
          </w:tcPr>
          <w:p w14:paraId="35F47613">
            <w:pPr>
              <w:widowControl/>
              <w:jc w:val="center"/>
              <w:textAlignment w:val="bottom"/>
              <w:rPr>
                <w:rFonts w:hint="eastAsia" w:ascii="宋体" w:hAnsi="宋体"/>
                <w:color w:val="000000"/>
              </w:rPr>
            </w:pPr>
            <w:r>
              <w:rPr>
                <w:rFonts w:hint="eastAsia" w:ascii="宋体" w:hAnsi="宋体" w:cs="宋体"/>
                <w:color w:val="000000"/>
                <w:kern w:val="0"/>
                <w:sz w:val="22"/>
                <w:lang w:bidi="ar"/>
              </w:rPr>
              <w:t>刀垫1</w:t>
            </w:r>
          </w:p>
        </w:tc>
        <w:tc>
          <w:tcPr>
            <w:tcW w:w="2174" w:type="pct"/>
            <w:shd w:val="clear" w:color="auto" w:fill="auto"/>
            <w:vAlign w:val="bottom"/>
          </w:tcPr>
          <w:p w14:paraId="7E62910A">
            <w:pPr>
              <w:widowControl/>
              <w:jc w:val="center"/>
              <w:textAlignment w:val="bottom"/>
              <w:rPr>
                <w:rFonts w:hint="eastAsia" w:ascii="宋体" w:hAnsi="宋体"/>
                <w:color w:val="000000"/>
              </w:rPr>
            </w:pPr>
          </w:p>
        </w:tc>
        <w:tc>
          <w:tcPr>
            <w:tcW w:w="935" w:type="pct"/>
            <w:vAlign w:val="center"/>
          </w:tcPr>
          <w:p w14:paraId="26631A2E">
            <w:pPr>
              <w:widowControl/>
              <w:spacing w:line="360" w:lineRule="auto"/>
              <w:rPr>
                <w:rFonts w:hint="eastAsia" w:ascii="宋体" w:hAnsi="宋体" w:cs="宋体"/>
                <w:kern w:val="0"/>
              </w:rPr>
            </w:pPr>
          </w:p>
        </w:tc>
        <w:tc>
          <w:tcPr>
            <w:tcW w:w="860" w:type="pct"/>
            <w:shd w:val="clear" w:color="auto" w:fill="auto"/>
            <w:vAlign w:val="center"/>
          </w:tcPr>
          <w:p w14:paraId="42F01FC4">
            <w:pPr>
              <w:widowControl/>
              <w:rPr>
                <w:rFonts w:hint="eastAsia" w:ascii="仿宋" w:hAnsi="仿宋" w:eastAsia="仿宋" w:cs="宋体"/>
                <w:b/>
                <w:kern w:val="0"/>
                <w:sz w:val="24"/>
                <w:szCs w:val="24"/>
              </w:rPr>
            </w:pPr>
          </w:p>
        </w:tc>
      </w:tr>
      <w:tr w14:paraId="3FD33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29" w:type="pct"/>
            <w:shd w:val="clear" w:color="auto" w:fill="auto"/>
            <w:vAlign w:val="bottom"/>
          </w:tcPr>
          <w:p w14:paraId="34D91D13">
            <w:pPr>
              <w:widowControl/>
              <w:jc w:val="center"/>
              <w:textAlignment w:val="bottom"/>
              <w:rPr>
                <w:rFonts w:hint="eastAsia" w:ascii="宋体" w:hAnsi="宋体"/>
                <w:color w:val="000000"/>
              </w:rPr>
            </w:pPr>
            <w:r>
              <w:rPr>
                <w:rFonts w:hint="eastAsia" w:ascii="宋体" w:hAnsi="宋体" w:cs="宋体"/>
                <w:color w:val="000000"/>
                <w:kern w:val="0"/>
                <w:sz w:val="22"/>
                <w:lang w:bidi="ar"/>
              </w:rPr>
              <w:t>刀垫2</w:t>
            </w:r>
          </w:p>
        </w:tc>
        <w:tc>
          <w:tcPr>
            <w:tcW w:w="2174" w:type="pct"/>
            <w:shd w:val="clear" w:color="auto" w:fill="auto"/>
            <w:vAlign w:val="bottom"/>
          </w:tcPr>
          <w:p w14:paraId="083D28F0">
            <w:pPr>
              <w:widowControl/>
              <w:jc w:val="center"/>
              <w:textAlignment w:val="bottom"/>
              <w:rPr>
                <w:rFonts w:hint="eastAsia" w:ascii="宋体" w:hAnsi="宋体"/>
                <w:color w:val="000000"/>
              </w:rPr>
            </w:pPr>
          </w:p>
        </w:tc>
        <w:tc>
          <w:tcPr>
            <w:tcW w:w="935" w:type="pct"/>
            <w:vAlign w:val="center"/>
          </w:tcPr>
          <w:p w14:paraId="2D583A28">
            <w:pPr>
              <w:spacing w:line="360" w:lineRule="auto"/>
              <w:rPr>
                <w:rFonts w:hint="eastAsia" w:ascii="宋体" w:hAnsi="宋体"/>
                <w:color w:val="000000"/>
              </w:rPr>
            </w:pPr>
          </w:p>
        </w:tc>
        <w:tc>
          <w:tcPr>
            <w:tcW w:w="860" w:type="pct"/>
            <w:shd w:val="clear" w:color="auto" w:fill="auto"/>
            <w:vAlign w:val="center"/>
          </w:tcPr>
          <w:p w14:paraId="2CBBE880">
            <w:pPr>
              <w:rPr>
                <w:rFonts w:hint="eastAsia" w:ascii="仿宋" w:hAnsi="仿宋" w:eastAsia="仿宋"/>
                <w:b/>
                <w:color w:val="000000"/>
                <w:sz w:val="24"/>
                <w:szCs w:val="24"/>
              </w:rPr>
            </w:pPr>
          </w:p>
        </w:tc>
      </w:tr>
      <w:tr w14:paraId="2AEE5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bottom"/>
          </w:tcPr>
          <w:p w14:paraId="24685D33">
            <w:pPr>
              <w:widowControl/>
              <w:jc w:val="center"/>
              <w:textAlignment w:val="bottom"/>
              <w:rPr>
                <w:rFonts w:hint="eastAsia" w:ascii="宋体" w:hAnsi="宋体"/>
                <w:color w:val="000000"/>
              </w:rPr>
            </w:pPr>
            <w:r>
              <w:rPr>
                <w:rFonts w:hint="eastAsia" w:ascii="宋体" w:hAnsi="宋体" w:cs="宋体"/>
                <w:color w:val="000000"/>
                <w:kern w:val="0"/>
                <w:sz w:val="22"/>
                <w:lang w:bidi="ar"/>
              </w:rPr>
              <w:t>刀垫3</w:t>
            </w:r>
          </w:p>
        </w:tc>
        <w:tc>
          <w:tcPr>
            <w:tcW w:w="2174" w:type="pct"/>
            <w:shd w:val="clear" w:color="auto" w:fill="auto"/>
            <w:vAlign w:val="bottom"/>
          </w:tcPr>
          <w:p w14:paraId="52CC3263">
            <w:pPr>
              <w:widowControl/>
              <w:jc w:val="center"/>
              <w:textAlignment w:val="bottom"/>
              <w:rPr>
                <w:rFonts w:hint="eastAsia" w:ascii="宋体" w:hAnsi="宋体"/>
                <w:color w:val="000000"/>
              </w:rPr>
            </w:pPr>
          </w:p>
        </w:tc>
        <w:tc>
          <w:tcPr>
            <w:tcW w:w="935" w:type="pct"/>
          </w:tcPr>
          <w:p w14:paraId="7EB5D707">
            <w:pPr>
              <w:spacing w:line="360" w:lineRule="auto"/>
              <w:rPr>
                <w:rFonts w:hint="eastAsia" w:ascii="宋体" w:hAnsi="宋体"/>
                <w:color w:val="000000"/>
              </w:rPr>
            </w:pPr>
          </w:p>
        </w:tc>
        <w:tc>
          <w:tcPr>
            <w:tcW w:w="860" w:type="pct"/>
            <w:shd w:val="clear" w:color="auto" w:fill="auto"/>
            <w:vAlign w:val="center"/>
          </w:tcPr>
          <w:p w14:paraId="21072A4C">
            <w:pPr>
              <w:rPr>
                <w:rFonts w:hint="eastAsia" w:ascii="仿宋" w:hAnsi="仿宋" w:eastAsia="仿宋"/>
                <w:b/>
                <w:color w:val="000000"/>
                <w:sz w:val="24"/>
                <w:szCs w:val="24"/>
              </w:rPr>
            </w:pPr>
          </w:p>
        </w:tc>
      </w:tr>
      <w:tr w14:paraId="3133E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bottom"/>
          </w:tcPr>
          <w:p w14:paraId="14A8B4FF">
            <w:pPr>
              <w:widowControl/>
              <w:jc w:val="center"/>
              <w:textAlignment w:val="bottom"/>
              <w:rPr>
                <w:rFonts w:hint="eastAsia" w:ascii="宋体" w:hAnsi="宋体"/>
                <w:color w:val="000000"/>
              </w:rPr>
            </w:pPr>
            <w:r>
              <w:rPr>
                <w:rFonts w:hint="eastAsia" w:ascii="宋体" w:hAnsi="宋体" w:cs="宋体"/>
                <w:color w:val="000000"/>
                <w:kern w:val="0"/>
                <w:sz w:val="22"/>
                <w:lang w:bidi="ar"/>
              </w:rPr>
              <w:t>刀垫4</w:t>
            </w:r>
          </w:p>
        </w:tc>
        <w:tc>
          <w:tcPr>
            <w:tcW w:w="2174" w:type="pct"/>
            <w:shd w:val="clear" w:color="auto" w:fill="auto"/>
            <w:vAlign w:val="bottom"/>
          </w:tcPr>
          <w:p w14:paraId="27344B1E">
            <w:pPr>
              <w:widowControl/>
              <w:jc w:val="center"/>
              <w:textAlignment w:val="bottom"/>
              <w:rPr>
                <w:rFonts w:hint="eastAsia" w:ascii="宋体" w:hAnsi="宋体" w:cs="宋体"/>
                <w:color w:val="000000"/>
                <w:sz w:val="22"/>
              </w:rPr>
            </w:pPr>
          </w:p>
        </w:tc>
        <w:tc>
          <w:tcPr>
            <w:tcW w:w="935" w:type="pct"/>
          </w:tcPr>
          <w:p w14:paraId="1C328562">
            <w:pPr>
              <w:spacing w:line="360" w:lineRule="auto"/>
              <w:jc w:val="center"/>
              <w:rPr>
                <w:rFonts w:hint="eastAsia" w:ascii="宋体" w:hAnsi="宋体"/>
                <w:color w:val="000000"/>
              </w:rPr>
            </w:pPr>
          </w:p>
        </w:tc>
        <w:tc>
          <w:tcPr>
            <w:tcW w:w="860" w:type="pct"/>
            <w:shd w:val="clear" w:color="auto" w:fill="auto"/>
          </w:tcPr>
          <w:p w14:paraId="5933BF04">
            <w:pPr>
              <w:rPr>
                <w:rFonts w:hint="eastAsia" w:ascii="仿宋" w:hAnsi="仿宋" w:eastAsia="仿宋"/>
                <w:b/>
                <w:color w:val="000000"/>
                <w:sz w:val="24"/>
                <w:szCs w:val="24"/>
              </w:rPr>
            </w:pPr>
          </w:p>
        </w:tc>
      </w:tr>
      <w:tr w14:paraId="14697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bottom"/>
          </w:tcPr>
          <w:p w14:paraId="2E74189D">
            <w:pPr>
              <w:widowControl/>
              <w:jc w:val="center"/>
              <w:textAlignment w:val="bottom"/>
              <w:rPr>
                <w:rFonts w:hint="eastAsia" w:ascii="宋体" w:hAnsi="宋体"/>
                <w:color w:val="000000"/>
              </w:rPr>
            </w:pPr>
            <w:r>
              <w:rPr>
                <w:rFonts w:hint="eastAsia" w:ascii="宋体" w:hAnsi="宋体" w:cs="宋体"/>
                <w:color w:val="000000"/>
                <w:kern w:val="0"/>
                <w:sz w:val="22"/>
                <w:lang w:bidi="ar"/>
              </w:rPr>
              <w:t>滤芯1</w:t>
            </w:r>
          </w:p>
        </w:tc>
        <w:tc>
          <w:tcPr>
            <w:tcW w:w="2174" w:type="pct"/>
            <w:shd w:val="clear" w:color="auto" w:fill="auto"/>
            <w:vAlign w:val="bottom"/>
          </w:tcPr>
          <w:p w14:paraId="36E11D98">
            <w:pPr>
              <w:widowControl/>
              <w:jc w:val="center"/>
              <w:textAlignment w:val="bottom"/>
              <w:rPr>
                <w:rFonts w:hint="eastAsia" w:ascii="宋体" w:hAnsi="宋体"/>
                <w:color w:val="000000"/>
              </w:rPr>
            </w:pPr>
          </w:p>
        </w:tc>
        <w:tc>
          <w:tcPr>
            <w:tcW w:w="935" w:type="pct"/>
          </w:tcPr>
          <w:p w14:paraId="753932E5">
            <w:pPr>
              <w:spacing w:line="360" w:lineRule="auto"/>
              <w:rPr>
                <w:rFonts w:hint="eastAsia" w:ascii="宋体" w:hAnsi="宋体"/>
                <w:color w:val="000000"/>
              </w:rPr>
            </w:pPr>
          </w:p>
        </w:tc>
        <w:tc>
          <w:tcPr>
            <w:tcW w:w="860" w:type="pct"/>
            <w:shd w:val="clear" w:color="auto" w:fill="auto"/>
            <w:vAlign w:val="center"/>
          </w:tcPr>
          <w:p w14:paraId="2E6283DD">
            <w:pPr>
              <w:rPr>
                <w:rFonts w:hint="eastAsia" w:ascii="仿宋" w:hAnsi="仿宋" w:eastAsia="仿宋"/>
                <w:b/>
                <w:color w:val="000000"/>
                <w:sz w:val="24"/>
                <w:szCs w:val="24"/>
              </w:rPr>
            </w:pPr>
          </w:p>
        </w:tc>
      </w:tr>
      <w:tr w14:paraId="2354F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bottom"/>
          </w:tcPr>
          <w:p w14:paraId="2CB0BDD2">
            <w:pPr>
              <w:widowControl/>
              <w:jc w:val="center"/>
              <w:textAlignment w:val="bottom"/>
              <w:rPr>
                <w:rFonts w:hint="eastAsia" w:ascii="宋体" w:hAnsi="宋体"/>
                <w:color w:val="000000"/>
              </w:rPr>
            </w:pPr>
            <w:r>
              <w:rPr>
                <w:rFonts w:hint="eastAsia" w:ascii="宋体" w:hAnsi="宋体" w:cs="宋体"/>
                <w:color w:val="000000"/>
                <w:kern w:val="0"/>
                <w:sz w:val="22"/>
                <w:lang w:bidi="ar"/>
              </w:rPr>
              <w:t>滤芯2</w:t>
            </w:r>
          </w:p>
        </w:tc>
        <w:tc>
          <w:tcPr>
            <w:tcW w:w="2174" w:type="pct"/>
            <w:shd w:val="clear" w:color="auto" w:fill="auto"/>
            <w:vAlign w:val="bottom"/>
          </w:tcPr>
          <w:p w14:paraId="136EF37D">
            <w:pPr>
              <w:widowControl/>
              <w:jc w:val="center"/>
              <w:textAlignment w:val="bottom"/>
              <w:rPr>
                <w:rFonts w:hint="eastAsia" w:ascii="宋体" w:hAnsi="宋体"/>
                <w:color w:val="000000"/>
              </w:rPr>
            </w:pPr>
          </w:p>
        </w:tc>
        <w:tc>
          <w:tcPr>
            <w:tcW w:w="935" w:type="pct"/>
          </w:tcPr>
          <w:p w14:paraId="227FBFDA">
            <w:pPr>
              <w:spacing w:line="360" w:lineRule="auto"/>
              <w:jc w:val="center"/>
              <w:rPr>
                <w:rFonts w:hint="eastAsia" w:ascii="宋体" w:hAnsi="宋体"/>
                <w:color w:val="000000"/>
              </w:rPr>
            </w:pPr>
          </w:p>
        </w:tc>
        <w:tc>
          <w:tcPr>
            <w:tcW w:w="860" w:type="pct"/>
            <w:shd w:val="clear" w:color="auto" w:fill="auto"/>
            <w:vAlign w:val="center"/>
          </w:tcPr>
          <w:p w14:paraId="19EFE5F0">
            <w:pPr>
              <w:rPr>
                <w:rFonts w:hint="eastAsia" w:ascii="仿宋" w:hAnsi="仿宋" w:eastAsia="仿宋"/>
                <w:b/>
                <w:color w:val="000000"/>
                <w:sz w:val="24"/>
                <w:szCs w:val="24"/>
              </w:rPr>
            </w:pPr>
          </w:p>
        </w:tc>
      </w:tr>
      <w:tr w14:paraId="632FF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bottom"/>
          </w:tcPr>
          <w:p w14:paraId="0D83CC01">
            <w:pPr>
              <w:widowControl/>
              <w:jc w:val="center"/>
              <w:textAlignment w:val="bottom"/>
              <w:rPr>
                <w:rFonts w:hint="eastAsia" w:ascii="宋体" w:hAnsi="宋体"/>
                <w:color w:val="000000"/>
              </w:rPr>
            </w:pPr>
            <w:r>
              <w:rPr>
                <w:rFonts w:hint="eastAsia" w:ascii="宋体" w:hAnsi="宋体" w:cs="宋体"/>
                <w:color w:val="000000"/>
                <w:kern w:val="0"/>
                <w:sz w:val="22"/>
                <w:lang w:bidi="ar"/>
              </w:rPr>
              <w:t>反射箔</w:t>
            </w:r>
          </w:p>
        </w:tc>
        <w:tc>
          <w:tcPr>
            <w:tcW w:w="2174" w:type="pct"/>
            <w:shd w:val="clear" w:color="auto" w:fill="auto"/>
            <w:vAlign w:val="bottom"/>
          </w:tcPr>
          <w:p w14:paraId="1436061A">
            <w:pPr>
              <w:widowControl/>
              <w:jc w:val="center"/>
              <w:textAlignment w:val="bottom"/>
              <w:rPr>
                <w:rFonts w:hint="eastAsia" w:ascii="宋体" w:hAnsi="宋体"/>
                <w:color w:val="000000"/>
              </w:rPr>
            </w:pPr>
          </w:p>
        </w:tc>
        <w:tc>
          <w:tcPr>
            <w:tcW w:w="935" w:type="pct"/>
          </w:tcPr>
          <w:p w14:paraId="7794CEB6">
            <w:pPr>
              <w:spacing w:line="360" w:lineRule="auto"/>
              <w:rPr>
                <w:rFonts w:hint="eastAsia" w:ascii="宋体" w:hAnsi="宋体"/>
                <w:color w:val="000000"/>
              </w:rPr>
            </w:pPr>
          </w:p>
        </w:tc>
        <w:tc>
          <w:tcPr>
            <w:tcW w:w="860" w:type="pct"/>
            <w:shd w:val="clear" w:color="auto" w:fill="auto"/>
            <w:vAlign w:val="center"/>
          </w:tcPr>
          <w:p w14:paraId="22CB0FF5">
            <w:pPr>
              <w:rPr>
                <w:rFonts w:hint="eastAsia" w:ascii="仿宋" w:hAnsi="仿宋" w:eastAsia="仿宋"/>
                <w:b/>
                <w:color w:val="000000"/>
                <w:sz w:val="24"/>
                <w:szCs w:val="24"/>
              </w:rPr>
            </w:pPr>
          </w:p>
        </w:tc>
      </w:tr>
      <w:tr w14:paraId="63B21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bottom"/>
          </w:tcPr>
          <w:p w14:paraId="4307D30A">
            <w:pPr>
              <w:widowControl/>
              <w:jc w:val="center"/>
              <w:textAlignment w:val="bottom"/>
              <w:rPr>
                <w:rFonts w:hint="eastAsia" w:ascii="宋体" w:hAnsi="宋体"/>
                <w:color w:val="000000"/>
              </w:rPr>
            </w:pPr>
            <w:r>
              <w:rPr>
                <w:rFonts w:hint="eastAsia" w:ascii="宋体" w:hAnsi="宋体" w:cs="宋体"/>
                <w:color w:val="000000"/>
                <w:kern w:val="0"/>
                <w:sz w:val="22"/>
                <w:lang w:bidi="ar"/>
              </w:rPr>
              <w:t>轴向轮</w:t>
            </w:r>
          </w:p>
        </w:tc>
        <w:tc>
          <w:tcPr>
            <w:tcW w:w="2174" w:type="pct"/>
            <w:shd w:val="clear" w:color="auto" w:fill="auto"/>
            <w:vAlign w:val="bottom"/>
          </w:tcPr>
          <w:p w14:paraId="1E37FB87">
            <w:pPr>
              <w:widowControl/>
              <w:jc w:val="center"/>
              <w:textAlignment w:val="bottom"/>
              <w:rPr>
                <w:rFonts w:hint="eastAsia" w:ascii="宋体" w:hAnsi="宋体"/>
                <w:color w:val="000000"/>
              </w:rPr>
            </w:pPr>
          </w:p>
        </w:tc>
        <w:tc>
          <w:tcPr>
            <w:tcW w:w="935" w:type="pct"/>
            <w:shd w:val="clear" w:color="auto" w:fill="auto"/>
          </w:tcPr>
          <w:p w14:paraId="64B93C2A">
            <w:pPr>
              <w:spacing w:line="360" w:lineRule="auto"/>
              <w:rPr>
                <w:rFonts w:hint="eastAsia" w:ascii="宋体" w:hAnsi="宋体"/>
                <w:color w:val="000000"/>
              </w:rPr>
            </w:pPr>
          </w:p>
        </w:tc>
        <w:tc>
          <w:tcPr>
            <w:tcW w:w="860" w:type="pct"/>
            <w:shd w:val="clear" w:color="auto" w:fill="auto"/>
            <w:vAlign w:val="center"/>
          </w:tcPr>
          <w:p w14:paraId="3145F418">
            <w:pPr>
              <w:rPr>
                <w:rFonts w:hint="eastAsia" w:ascii="仿宋" w:hAnsi="仿宋" w:eastAsia="仿宋"/>
                <w:b/>
                <w:color w:val="000000"/>
                <w:sz w:val="24"/>
                <w:szCs w:val="24"/>
              </w:rPr>
            </w:pPr>
          </w:p>
        </w:tc>
      </w:tr>
      <w:tr w14:paraId="38C6E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029" w:type="pct"/>
            <w:shd w:val="clear" w:color="auto" w:fill="auto"/>
            <w:vAlign w:val="bottom"/>
          </w:tcPr>
          <w:p w14:paraId="4265DA21">
            <w:pPr>
              <w:widowControl/>
              <w:jc w:val="center"/>
              <w:textAlignment w:val="bottom"/>
              <w:rPr>
                <w:rFonts w:hint="eastAsia" w:ascii="宋体" w:hAnsi="宋体"/>
                <w:color w:val="000000"/>
              </w:rPr>
            </w:pPr>
            <w:r>
              <w:rPr>
                <w:rFonts w:hint="eastAsia" w:ascii="宋体" w:hAnsi="宋体" w:cs="宋体"/>
                <w:color w:val="000000"/>
                <w:kern w:val="0"/>
                <w:sz w:val="22"/>
                <w:lang w:bidi="ar"/>
              </w:rPr>
              <w:t>齿型皮带1</w:t>
            </w:r>
          </w:p>
        </w:tc>
        <w:tc>
          <w:tcPr>
            <w:tcW w:w="2174" w:type="pct"/>
            <w:shd w:val="clear" w:color="auto" w:fill="auto"/>
            <w:vAlign w:val="bottom"/>
          </w:tcPr>
          <w:p w14:paraId="586E0133">
            <w:pPr>
              <w:widowControl/>
              <w:jc w:val="center"/>
              <w:textAlignment w:val="bottom"/>
              <w:rPr>
                <w:rFonts w:hint="eastAsia" w:ascii="宋体" w:hAnsi="宋体"/>
                <w:color w:val="000000"/>
              </w:rPr>
            </w:pPr>
          </w:p>
        </w:tc>
        <w:tc>
          <w:tcPr>
            <w:tcW w:w="935" w:type="pct"/>
            <w:shd w:val="clear" w:color="auto" w:fill="auto"/>
          </w:tcPr>
          <w:p w14:paraId="0F30D9DF">
            <w:pPr>
              <w:spacing w:line="360" w:lineRule="auto"/>
              <w:rPr>
                <w:rFonts w:hint="eastAsia" w:ascii="宋体" w:hAnsi="宋体"/>
                <w:color w:val="000000"/>
              </w:rPr>
            </w:pPr>
          </w:p>
        </w:tc>
        <w:tc>
          <w:tcPr>
            <w:tcW w:w="860" w:type="pct"/>
            <w:shd w:val="clear" w:color="auto" w:fill="auto"/>
            <w:vAlign w:val="center"/>
          </w:tcPr>
          <w:p w14:paraId="6022F968">
            <w:pPr>
              <w:rPr>
                <w:rFonts w:hint="eastAsia" w:ascii="仿宋" w:hAnsi="仿宋" w:eastAsia="仿宋"/>
                <w:b/>
                <w:color w:val="000000"/>
                <w:sz w:val="24"/>
                <w:szCs w:val="24"/>
              </w:rPr>
            </w:pPr>
          </w:p>
        </w:tc>
      </w:tr>
      <w:tr w14:paraId="0C6AA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bottom"/>
          </w:tcPr>
          <w:p w14:paraId="4206B062">
            <w:pPr>
              <w:widowControl/>
              <w:jc w:val="center"/>
              <w:textAlignment w:val="bottom"/>
              <w:rPr>
                <w:rFonts w:hint="eastAsia" w:ascii="宋体" w:hAnsi="宋体"/>
                <w:color w:val="000000"/>
              </w:rPr>
            </w:pPr>
            <w:r>
              <w:rPr>
                <w:rFonts w:hint="eastAsia" w:ascii="宋体" w:hAnsi="宋体" w:cs="宋体"/>
                <w:color w:val="000000"/>
                <w:kern w:val="0"/>
                <w:sz w:val="22"/>
                <w:lang w:bidi="ar"/>
              </w:rPr>
              <w:t>齿型皮带2</w:t>
            </w:r>
          </w:p>
        </w:tc>
        <w:tc>
          <w:tcPr>
            <w:tcW w:w="2174" w:type="pct"/>
            <w:shd w:val="clear" w:color="auto" w:fill="auto"/>
            <w:vAlign w:val="bottom"/>
          </w:tcPr>
          <w:p w14:paraId="15A96510">
            <w:pPr>
              <w:widowControl/>
              <w:jc w:val="center"/>
              <w:textAlignment w:val="bottom"/>
              <w:rPr>
                <w:rFonts w:hint="eastAsia" w:ascii="宋体" w:hAnsi="宋体"/>
                <w:color w:val="000000"/>
              </w:rPr>
            </w:pPr>
          </w:p>
        </w:tc>
        <w:tc>
          <w:tcPr>
            <w:tcW w:w="935" w:type="pct"/>
            <w:shd w:val="clear" w:color="auto" w:fill="auto"/>
          </w:tcPr>
          <w:p w14:paraId="1E96D8E7">
            <w:pPr>
              <w:spacing w:line="360" w:lineRule="auto"/>
              <w:rPr>
                <w:rFonts w:hint="eastAsia" w:ascii="宋体" w:hAnsi="宋体"/>
                <w:color w:val="000000"/>
              </w:rPr>
            </w:pPr>
          </w:p>
        </w:tc>
        <w:tc>
          <w:tcPr>
            <w:tcW w:w="860" w:type="pct"/>
            <w:shd w:val="clear" w:color="auto" w:fill="auto"/>
            <w:vAlign w:val="center"/>
          </w:tcPr>
          <w:p w14:paraId="1C0BD157">
            <w:pPr>
              <w:rPr>
                <w:rFonts w:hint="eastAsia" w:ascii="仿宋" w:hAnsi="仿宋" w:eastAsia="仿宋"/>
                <w:b/>
                <w:color w:val="000000"/>
                <w:sz w:val="24"/>
                <w:szCs w:val="24"/>
              </w:rPr>
            </w:pPr>
          </w:p>
        </w:tc>
      </w:tr>
      <w:tr w14:paraId="6D392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029" w:type="pct"/>
            <w:shd w:val="clear" w:color="auto" w:fill="auto"/>
            <w:vAlign w:val="bottom"/>
          </w:tcPr>
          <w:p w14:paraId="73481695">
            <w:pPr>
              <w:widowControl/>
              <w:jc w:val="center"/>
              <w:textAlignment w:val="bottom"/>
              <w:rPr>
                <w:rFonts w:hint="eastAsia" w:ascii="宋体" w:hAnsi="宋体" w:cs="宋体"/>
                <w:color w:val="000000"/>
                <w:kern w:val="0"/>
                <w:sz w:val="22"/>
                <w:lang w:bidi="ar"/>
              </w:rPr>
            </w:pPr>
            <w:r>
              <w:rPr>
                <w:rFonts w:hint="eastAsia" w:ascii="宋体" w:hAnsi="宋体" w:cs="宋体"/>
                <w:color w:val="000000"/>
                <w:kern w:val="0"/>
                <w:sz w:val="22"/>
                <w:lang w:bidi="ar"/>
              </w:rPr>
              <w:t>小型断路器</w:t>
            </w:r>
          </w:p>
        </w:tc>
        <w:tc>
          <w:tcPr>
            <w:tcW w:w="2174" w:type="pct"/>
            <w:shd w:val="clear" w:color="auto" w:fill="auto"/>
            <w:vAlign w:val="bottom"/>
          </w:tcPr>
          <w:p w14:paraId="2F974811">
            <w:pPr>
              <w:widowControl/>
              <w:jc w:val="center"/>
              <w:textAlignment w:val="bottom"/>
              <w:rPr>
                <w:rFonts w:hint="eastAsia" w:ascii="宋体" w:hAnsi="宋体"/>
                <w:color w:val="000000"/>
              </w:rPr>
            </w:pPr>
          </w:p>
        </w:tc>
        <w:tc>
          <w:tcPr>
            <w:tcW w:w="935" w:type="pct"/>
            <w:shd w:val="clear" w:color="auto" w:fill="auto"/>
          </w:tcPr>
          <w:p w14:paraId="59B48A6B">
            <w:pPr>
              <w:spacing w:line="360" w:lineRule="auto"/>
              <w:jc w:val="left"/>
              <w:rPr>
                <w:rFonts w:hint="eastAsia" w:ascii="宋体" w:hAnsi="宋体"/>
                <w:color w:val="000000"/>
              </w:rPr>
            </w:pPr>
          </w:p>
        </w:tc>
        <w:tc>
          <w:tcPr>
            <w:tcW w:w="860" w:type="pct"/>
            <w:shd w:val="clear" w:color="auto" w:fill="auto"/>
            <w:vAlign w:val="center"/>
          </w:tcPr>
          <w:p w14:paraId="7E2F0754">
            <w:pPr>
              <w:jc w:val="left"/>
              <w:rPr>
                <w:rFonts w:hint="eastAsia" w:ascii="仿宋" w:hAnsi="仿宋" w:eastAsia="仿宋"/>
                <w:b/>
                <w:color w:val="000000"/>
                <w:sz w:val="24"/>
                <w:szCs w:val="24"/>
              </w:rPr>
            </w:pPr>
          </w:p>
        </w:tc>
      </w:tr>
      <w:tr w14:paraId="0A8FC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bottom"/>
          </w:tcPr>
          <w:p w14:paraId="44A41805">
            <w:pPr>
              <w:widowControl/>
              <w:jc w:val="center"/>
              <w:textAlignment w:val="bottom"/>
              <w:rPr>
                <w:rFonts w:hint="eastAsia" w:ascii="宋体" w:hAnsi="宋体" w:cs="宋体"/>
                <w:color w:val="000000"/>
                <w:kern w:val="0"/>
                <w:sz w:val="22"/>
                <w:lang w:bidi="ar"/>
              </w:rPr>
            </w:pPr>
            <w:r>
              <w:rPr>
                <w:rFonts w:hint="eastAsia" w:ascii="宋体" w:hAnsi="宋体" w:cs="宋体"/>
                <w:color w:val="000000"/>
                <w:kern w:val="0"/>
                <w:sz w:val="22"/>
                <w:lang w:bidi="ar"/>
              </w:rPr>
              <w:t>中间继电器</w:t>
            </w:r>
          </w:p>
        </w:tc>
        <w:tc>
          <w:tcPr>
            <w:tcW w:w="2174" w:type="pct"/>
            <w:shd w:val="clear" w:color="auto" w:fill="auto"/>
            <w:vAlign w:val="bottom"/>
          </w:tcPr>
          <w:p w14:paraId="663A5A32">
            <w:pPr>
              <w:widowControl/>
              <w:jc w:val="center"/>
              <w:textAlignment w:val="bottom"/>
              <w:rPr>
                <w:rFonts w:hint="eastAsia" w:ascii="宋体" w:hAnsi="宋体"/>
                <w:color w:val="000000"/>
              </w:rPr>
            </w:pPr>
          </w:p>
        </w:tc>
        <w:tc>
          <w:tcPr>
            <w:tcW w:w="935" w:type="pct"/>
            <w:shd w:val="clear" w:color="auto" w:fill="auto"/>
          </w:tcPr>
          <w:p w14:paraId="67A31CF5">
            <w:pPr>
              <w:spacing w:line="360" w:lineRule="auto"/>
              <w:jc w:val="left"/>
              <w:rPr>
                <w:rFonts w:hint="eastAsia" w:ascii="宋体" w:hAnsi="宋体"/>
                <w:color w:val="000000"/>
              </w:rPr>
            </w:pPr>
          </w:p>
        </w:tc>
        <w:tc>
          <w:tcPr>
            <w:tcW w:w="860" w:type="pct"/>
            <w:shd w:val="clear" w:color="auto" w:fill="auto"/>
            <w:vAlign w:val="center"/>
          </w:tcPr>
          <w:p w14:paraId="779AD950">
            <w:pPr>
              <w:jc w:val="left"/>
              <w:rPr>
                <w:rFonts w:hint="eastAsia" w:ascii="仿宋" w:hAnsi="仿宋" w:eastAsia="仿宋"/>
                <w:b/>
                <w:color w:val="000000"/>
                <w:sz w:val="24"/>
                <w:szCs w:val="24"/>
              </w:rPr>
            </w:pPr>
          </w:p>
        </w:tc>
      </w:tr>
      <w:tr w14:paraId="0FA5E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bottom"/>
          </w:tcPr>
          <w:p w14:paraId="496B7912">
            <w:pPr>
              <w:widowControl/>
              <w:jc w:val="center"/>
              <w:textAlignment w:val="bottom"/>
              <w:rPr>
                <w:rFonts w:hint="eastAsia" w:ascii="宋体" w:hAnsi="宋体" w:cs="宋体"/>
                <w:color w:val="000000"/>
                <w:kern w:val="0"/>
                <w:sz w:val="22"/>
                <w:lang w:bidi="ar"/>
              </w:rPr>
            </w:pPr>
            <w:r>
              <w:rPr>
                <w:rFonts w:hint="eastAsia" w:ascii="宋体" w:hAnsi="宋体" w:cs="宋体"/>
                <w:color w:val="000000"/>
                <w:kern w:val="0"/>
                <w:sz w:val="22"/>
                <w:lang w:bidi="ar"/>
              </w:rPr>
              <w:t>接近开关1</w:t>
            </w:r>
          </w:p>
        </w:tc>
        <w:tc>
          <w:tcPr>
            <w:tcW w:w="2174" w:type="pct"/>
            <w:shd w:val="clear" w:color="auto" w:fill="auto"/>
            <w:vAlign w:val="bottom"/>
          </w:tcPr>
          <w:p w14:paraId="3B10789D">
            <w:pPr>
              <w:widowControl/>
              <w:jc w:val="center"/>
              <w:textAlignment w:val="bottom"/>
              <w:rPr>
                <w:rFonts w:hint="eastAsia" w:ascii="宋体" w:hAnsi="宋体"/>
                <w:color w:val="000000"/>
              </w:rPr>
            </w:pPr>
          </w:p>
        </w:tc>
        <w:tc>
          <w:tcPr>
            <w:tcW w:w="935" w:type="pct"/>
            <w:shd w:val="clear" w:color="auto" w:fill="auto"/>
          </w:tcPr>
          <w:p w14:paraId="01EFE70C">
            <w:pPr>
              <w:spacing w:line="360" w:lineRule="auto"/>
              <w:rPr>
                <w:rFonts w:hint="eastAsia" w:ascii="宋体" w:hAnsi="宋体"/>
                <w:color w:val="000000"/>
              </w:rPr>
            </w:pPr>
          </w:p>
        </w:tc>
        <w:tc>
          <w:tcPr>
            <w:tcW w:w="860" w:type="pct"/>
            <w:shd w:val="clear" w:color="auto" w:fill="auto"/>
            <w:vAlign w:val="center"/>
          </w:tcPr>
          <w:p w14:paraId="6B7F59D3">
            <w:pPr>
              <w:rPr>
                <w:rFonts w:hint="eastAsia" w:ascii="仿宋" w:hAnsi="仿宋" w:eastAsia="仿宋"/>
                <w:b/>
                <w:color w:val="000000"/>
                <w:sz w:val="24"/>
                <w:szCs w:val="24"/>
              </w:rPr>
            </w:pPr>
          </w:p>
        </w:tc>
      </w:tr>
      <w:tr w14:paraId="0ABC3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bottom"/>
          </w:tcPr>
          <w:p w14:paraId="69F99EB8">
            <w:pPr>
              <w:widowControl/>
              <w:jc w:val="center"/>
              <w:textAlignment w:val="bottom"/>
              <w:rPr>
                <w:rFonts w:hint="eastAsia" w:ascii="宋体" w:hAnsi="宋体" w:cs="宋体"/>
                <w:color w:val="000000"/>
                <w:kern w:val="0"/>
                <w:sz w:val="22"/>
                <w:lang w:bidi="ar"/>
              </w:rPr>
            </w:pPr>
            <w:r>
              <w:rPr>
                <w:rFonts w:hint="eastAsia" w:ascii="宋体" w:hAnsi="宋体" w:cs="宋体"/>
                <w:color w:val="000000"/>
                <w:kern w:val="0"/>
                <w:sz w:val="22"/>
                <w:lang w:bidi="ar"/>
              </w:rPr>
              <w:t>接近开关2</w:t>
            </w:r>
          </w:p>
        </w:tc>
        <w:tc>
          <w:tcPr>
            <w:tcW w:w="2174" w:type="pct"/>
            <w:shd w:val="clear" w:color="auto" w:fill="auto"/>
            <w:vAlign w:val="bottom"/>
          </w:tcPr>
          <w:p w14:paraId="284ADC0D">
            <w:pPr>
              <w:widowControl/>
              <w:jc w:val="center"/>
              <w:textAlignment w:val="bottom"/>
              <w:rPr>
                <w:rFonts w:hint="eastAsia" w:ascii="宋体" w:hAnsi="宋体"/>
                <w:color w:val="000000"/>
              </w:rPr>
            </w:pPr>
          </w:p>
        </w:tc>
        <w:tc>
          <w:tcPr>
            <w:tcW w:w="935" w:type="pct"/>
            <w:shd w:val="clear" w:color="auto" w:fill="auto"/>
          </w:tcPr>
          <w:p w14:paraId="5AE8A514">
            <w:pPr>
              <w:spacing w:line="360" w:lineRule="auto"/>
              <w:rPr>
                <w:rFonts w:hint="eastAsia" w:ascii="宋体" w:hAnsi="宋体"/>
                <w:color w:val="000000"/>
              </w:rPr>
            </w:pPr>
          </w:p>
        </w:tc>
        <w:tc>
          <w:tcPr>
            <w:tcW w:w="860" w:type="pct"/>
            <w:shd w:val="clear" w:color="auto" w:fill="auto"/>
            <w:vAlign w:val="center"/>
          </w:tcPr>
          <w:p w14:paraId="2A11DF9C">
            <w:pPr>
              <w:rPr>
                <w:rFonts w:hint="eastAsia" w:ascii="仿宋" w:hAnsi="仿宋" w:eastAsia="仿宋"/>
                <w:b/>
                <w:color w:val="000000"/>
                <w:sz w:val="24"/>
                <w:szCs w:val="24"/>
              </w:rPr>
            </w:pPr>
          </w:p>
        </w:tc>
      </w:tr>
      <w:tr w14:paraId="2A568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bottom"/>
          </w:tcPr>
          <w:p w14:paraId="7217E1B1">
            <w:pPr>
              <w:widowControl/>
              <w:jc w:val="center"/>
              <w:textAlignment w:val="bottom"/>
              <w:rPr>
                <w:rFonts w:hint="eastAsia" w:ascii="宋体" w:hAnsi="宋体" w:cs="宋体"/>
                <w:color w:val="000000"/>
                <w:kern w:val="0"/>
                <w:sz w:val="22"/>
                <w:lang w:bidi="ar"/>
              </w:rPr>
            </w:pPr>
            <w:r>
              <w:rPr>
                <w:rFonts w:hint="eastAsia" w:ascii="宋体" w:hAnsi="宋体" w:cs="宋体"/>
                <w:color w:val="000000"/>
                <w:kern w:val="0"/>
                <w:sz w:val="22"/>
                <w:lang w:bidi="ar"/>
              </w:rPr>
              <w:t>硬质合金刀头</w:t>
            </w:r>
          </w:p>
        </w:tc>
        <w:tc>
          <w:tcPr>
            <w:tcW w:w="2174" w:type="pct"/>
            <w:shd w:val="clear" w:color="auto" w:fill="auto"/>
            <w:vAlign w:val="bottom"/>
          </w:tcPr>
          <w:p w14:paraId="193A3053">
            <w:pPr>
              <w:widowControl/>
              <w:jc w:val="center"/>
              <w:textAlignment w:val="bottom"/>
              <w:rPr>
                <w:rFonts w:hint="eastAsia" w:ascii="宋体" w:hAnsi="宋体"/>
                <w:color w:val="000000"/>
              </w:rPr>
            </w:pPr>
          </w:p>
        </w:tc>
        <w:tc>
          <w:tcPr>
            <w:tcW w:w="935" w:type="pct"/>
            <w:shd w:val="clear" w:color="auto" w:fill="auto"/>
          </w:tcPr>
          <w:p w14:paraId="685C9EB7">
            <w:pPr>
              <w:spacing w:line="360" w:lineRule="auto"/>
              <w:rPr>
                <w:rFonts w:hint="eastAsia" w:ascii="宋体" w:hAnsi="宋体"/>
                <w:color w:val="000000"/>
              </w:rPr>
            </w:pPr>
          </w:p>
        </w:tc>
        <w:tc>
          <w:tcPr>
            <w:tcW w:w="860" w:type="pct"/>
            <w:shd w:val="clear" w:color="auto" w:fill="auto"/>
            <w:vAlign w:val="center"/>
          </w:tcPr>
          <w:p w14:paraId="4441C605">
            <w:pPr>
              <w:rPr>
                <w:rFonts w:hint="eastAsia" w:ascii="仿宋" w:hAnsi="仿宋" w:eastAsia="仿宋"/>
                <w:b/>
                <w:color w:val="000000"/>
                <w:sz w:val="24"/>
                <w:szCs w:val="24"/>
              </w:rPr>
            </w:pPr>
          </w:p>
        </w:tc>
      </w:tr>
      <w:tr w14:paraId="79A6F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bottom"/>
          </w:tcPr>
          <w:p w14:paraId="552343C1">
            <w:pPr>
              <w:widowControl/>
              <w:jc w:val="center"/>
              <w:textAlignment w:val="bottom"/>
              <w:rPr>
                <w:rFonts w:hint="eastAsia" w:ascii="宋体" w:hAnsi="宋体" w:cs="宋体"/>
                <w:color w:val="000000"/>
                <w:kern w:val="0"/>
                <w:sz w:val="22"/>
                <w:lang w:bidi="ar"/>
              </w:rPr>
            </w:pPr>
            <w:r>
              <w:rPr>
                <w:rFonts w:hint="eastAsia" w:ascii="宋体" w:hAnsi="宋体" w:cs="宋体"/>
                <w:color w:val="000000"/>
                <w:kern w:val="0"/>
                <w:sz w:val="22"/>
                <w:lang w:bidi="ar"/>
              </w:rPr>
              <w:t>标准轮对</w:t>
            </w:r>
          </w:p>
        </w:tc>
        <w:tc>
          <w:tcPr>
            <w:tcW w:w="2174" w:type="pct"/>
            <w:shd w:val="clear" w:color="auto" w:fill="auto"/>
            <w:vAlign w:val="bottom"/>
          </w:tcPr>
          <w:p w14:paraId="44EB1EC0">
            <w:pPr>
              <w:widowControl/>
              <w:jc w:val="center"/>
              <w:textAlignment w:val="bottom"/>
              <w:rPr>
                <w:rFonts w:hint="eastAsia" w:ascii="宋体" w:hAnsi="宋体"/>
                <w:color w:val="000000"/>
              </w:rPr>
            </w:pPr>
          </w:p>
        </w:tc>
        <w:tc>
          <w:tcPr>
            <w:tcW w:w="935" w:type="pct"/>
          </w:tcPr>
          <w:p w14:paraId="0B078B36">
            <w:pPr>
              <w:spacing w:line="360" w:lineRule="auto"/>
              <w:rPr>
                <w:rFonts w:hint="eastAsia" w:ascii="宋体" w:hAnsi="宋体"/>
                <w:color w:val="000000"/>
              </w:rPr>
            </w:pPr>
          </w:p>
        </w:tc>
        <w:tc>
          <w:tcPr>
            <w:tcW w:w="860" w:type="pct"/>
            <w:shd w:val="clear" w:color="auto" w:fill="auto"/>
            <w:vAlign w:val="center"/>
          </w:tcPr>
          <w:p w14:paraId="3B7459D4">
            <w:pPr>
              <w:rPr>
                <w:rFonts w:hint="eastAsia" w:ascii="仿宋" w:hAnsi="仿宋" w:eastAsia="仿宋"/>
                <w:b/>
                <w:color w:val="000000"/>
                <w:sz w:val="24"/>
                <w:szCs w:val="24"/>
              </w:rPr>
            </w:pPr>
          </w:p>
        </w:tc>
      </w:tr>
      <w:tr w14:paraId="0F2BB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29" w:type="pct"/>
            <w:shd w:val="clear" w:color="auto" w:fill="auto"/>
            <w:vAlign w:val="bottom"/>
          </w:tcPr>
          <w:p w14:paraId="14814EC3">
            <w:pPr>
              <w:widowControl/>
              <w:jc w:val="center"/>
              <w:textAlignment w:val="bottom"/>
              <w:rPr>
                <w:rFonts w:hint="eastAsia" w:ascii="宋体" w:hAnsi="宋体" w:cs="宋体"/>
                <w:color w:val="000000"/>
                <w:kern w:val="0"/>
                <w:sz w:val="22"/>
                <w:lang w:bidi="ar"/>
              </w:rPr>
            </w:pPr>
            <w:r>
              <w:rPr>
                <w:rFonts w:hint="eastAsia" w:ascii="宋体" w:hAnsi="宋体" w:cs="宋体"/>
                <w:color w:val="000000"/>
                <w:kern w:val="0"/>
                <w:sz w:val="22"/>
                <w:lang w:bidi="ar"/>
              </w:rPr>
              <w:t>全套廓形检测板</w:t>
            </w:r>
          </w:p>
        </w:tc>
        <w:tc>
          <w:tcPr>
            <w:tcW w:w="2174" w:type="pct"/>
            <w:shd w:val="clear" w:color="auto" w:fill="auto"/>
            <w:vAlign w:val="bottom"/>
          </w:tcPr>
          <w:p w14:paraId="3FB738BA">
            <w:pPr>
              <w:widowControl/>
              <w:jc w:val="center"/>
              <w:textAlignment w:val="bottom"/>
              <w:rPr>
                <w:rFonts w:hint="eastAsia" w:ascii="宋体" w:hAnsi="宋体"/>
                <w:color w:val="000000"/>
              </w:rPr>
            </w:pPr>
          </w:p>
        </w:tc>
        <w:tc>
          <w:tcPr>
            <w:tcW w:w="935" w:type="pct"/>
          </w:tcPr>
          <w:p w14:paraId="7307FFA6">
            <w:pPr>
              <w:spacing w:line="360" w:lineRule="auto"/>
              <w:rPr>
                <w:rFonts w:hint="eastAsia" w:ascii="宋体" w:hAnsi="宋体"/>
                <w:color w:val="000000"/>
              </w:rPr>
            </w:pPr>
          </w:p>
        </w:tc>
        <w:tc>
          <w:tcPr>
            <w:tcW w:w="860" w:type="pct"/>
            <w:shd w:val="clear" w:color="auto" w:fill="auto"/>
            <w:vAlign w:val="center"/>
          </w:tcPr>
          <w:p w14:paraId="14E77978">
            <w:pPr>
              <w:rPr>
                <w:rFonts w:hint="eastAsia" w:ascii="仿宋" w:hAnsi="仿宋" w:eastAsia="仿宋"/>
                <w:b/>
                <w:color w:val="000000"/>
                <w:sz w:val="24"/>
                <w:szCs w:val="24"/>
              </w:rPr>
            </w:pPr>
          </w:p>
        </w:tc>
      </w:tr>
    </w:tbl>
    <w:p w14:paraId="1AD73A78">
      <w:pPr>
        <w:adjustRightInd w:val="0"/>
        <w:snapToGrid w:val="0"/>
        <w:spacing w:line="360" w:lineRule="auto"/>
        <w:rPr>
          <w:rFonts w:hint="eastAsia" w:ascii="宋体" w:hAnsi="宋体"/>
          <w:bCs/>
          <w:snapToGrid w:val="0"/>
          <w:kern w:val="0"/>
        </w:rPr>
      </w:pPr>
      <w:r>
        <w:rPr>
          <w:rFonts w:hint="eastAsia" w:ascii="宋体" w:hAnsi="宋体"/>
          <w:b/>
        </w:rPr>
        <w:t>注：</w:t>
      </w:r>
      <w:r>
        <w:rPr>
          <w:rFonts w:ascii="宋体" w:hAnsi="宋体"/>
          <w:bCs/>
          <w:snapToGrid w:val="0"/>
          <w:kern w:val="0"/>
        </w:rPr>
        <w:t>供货清单按</w:t>
      </w:r>
      <w:r>
        <w:rPr>
          <w:rFonts w:hint="eastAsia" w:ascii="宋体" w:hAnsi="宋体"/>
          <w:bCs/>
          <w:snapToGrid w:val="0"/>
          <w:kern w:val="0"/>
        </w:rPr>
        <w:t>相应的</w:t>
      </w:r>
      <w:r>
        <w:rPr>
          <w:rFonts w:ascii="宋体" w:hAnsi="宋体"/>
          <w:bCs/>
          <w:snapToGrid w:val="0"/>
          <w:kern w:val="0"/>
        </w:rPr>
        <w:t>格式要求填报。</w:t>
      </w:r>
    </w:p>
    <w:p w14:paraId="4DEACBDC">
      <w:pPr>
        <w:widowControl/>
        <w:spacing w:line="360" w:lineRule="auto"/>
        <w:jc w:val="left"/>
        <w:outlineLvl w:val="0"/>
        <w:rPr>
          <w:rFonts w:hint="eastAsia" w:ascii="宋体" w:hAnsi="宋体"/>
          <w:b/>
        </w:rPr>
      </w:pPr>
      <w:bookmarkStart w:id="41" w:name="_Toc5112174"/>
      <w:bookmarkStart w:id="42" w:name="_Toc38273398"/>
      <w:r>
        <w:rPr>
          <w:rFonts w:hint="eastAsia" w:ascii="宋体" w:hAnsi="宋体"/>
          <w:b/>
        </w:rPr>
        <w:t>7.项目管理</w:t>
      </w:r>
      <w:bookmarkEnd w:id="41"/>
      <w:bookmarkEnd w:id="42"/>
    </w:p>
    <w:p w14:paraId="439B8E97">
      <w:pPr>
        <w:widowControl/>
        <w:spacing w:line="360" w:lineRule="auto"/>
        <w:ind w:firstLine="360"/>
        <w:jc w:val="left"/>
        <w:outlineLvl w:val="1"/>
        <w:rPr>
          <w:rFonts w:hint="eastAsia" w:ascii="宋体" w:hAnsi="宋体"/>
        </w:rPr>
      </w:pPr>
      <w:bookmarkStart w:id="43" w:name="_Toc27590"/>
      <w:bookmarkStart w:id="44" w:name="_Toc5112175"/>
      <w:bookmarkStart w:id="45" w:name="_Toc31708"/>
      <w:bookmarkStart w:id="46" w:name="_Toc31081"/>
      <w:bookmarkStart w:id="47" w:name="_Toc38273399"/>
      <w:bookmarkStart w:id="48" w:name="_Toc14307"/>
      <w:bookmarkStart w:id="49" w:name="_Toc3486"/>
      <w:bookmarkStart w:id="50" w:name="_Toc29261"/>
      <w:bookmarkStart w:id="51" w:name="_Toc15441"/>
      <w:r>
        <w:rPr>
          <w:rFonts w:hint="eastAsia" w:ascii="宋体" w:hAnsi="宋体"/>
        </w:rPr>
        <w:t>7.1项目组织机构</w:t>
      </w:r>
      <w:bookmarkEnd w:id="43"/>
      <w:bookmarkEnd w:id="44"/>
      <w:bookmarkEnd w:id="45"/>
      <w:bookmarkEnd w:id="46"/>
      <w:bookmarkEnd w:id="47"/>
      <w:bookmarkEnd w:id="48"/>
      <w:bookmarkEnd w:id="49"/>
      <w:bookmarkEnd w:id="50"/>
      <w:bookmarkEnd w:id="51"/>
    </w:p>
    <w:p w14:paraId="41B9FE43">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应按以下主要职能，设立相应的组织机构，包括但不限于：</w:t>
      </w:r>
    </w:p>
    <w:p w14:paraId="175C2E27">
      <w:pPr>
        <w:spacing w:line="360" w:lineRule="auto"/>
        <w:ind w:firstLine="560"/>
        <w:rPr>
          <w:rFonts w:hint="eastAsia" w:ascii="宋体" w:hAnsi="宋体"/>
        </w:rPr>
      </w:pPr>
      <w:r>
        <w:rPr>
          <w:rFonts w:hint="eastAsia" w:ascii="宋体" w:hAnsi="宋体"/>
        </w:rPr>
        <w:t>1.项目管理：按照招标人的指令和要求，专职负责该项目工程的实施。</w:t>
      </w:r>
    </w:p>
    <w:p w14:paraId="46635187">
      <w:pPr>
        <w:spacing w:line="360" w:lineRule="auto"/>
        <w:ind w:firstLine="560"/>
        <w:rPr>
          <w:rFonts w:hint="eastAsia" w:ascii="宋体" w:hAnsi="宋体"/>
        </w:rPr>
      </w:pPr>
      <w:r>
        <w:rPr>
          <w:rFonts w:hint="eastAsia" w:ascii="宋体" w:hAnsi="宋体"/>
        </w:rPr>
        <w:t>2.技术管理：按照供货合同的要求，监督所供设备的软、硬件设计。</w:t>
      </w:r>
    </w:p>
    <w:p w14:paraId="6B3B8D32">
      <w:pPr>
        <w:spacing w:line="360" w:lineRule="auto"/>
        <w:ind w:firstLine="560"/>
        <w:rPr>
          <w:rFonts w:hint="eastAsia" w:ascii="宋体" w:hAnsi="宋体"/>
        </w:rPr>
      </w:pPr>
      <w:r>
        <w:rPr>
          <w:rFonts w:hint="eastAsia" w:ascii="宋体" w:hAnsi="宋体"/>
        </w:rPr>
        <w:t>3.生产、制造管理：按照供货合同的要求，监督所供设备的主要原材料采购和设备的生产制造。</w:t>
      </w:r>
    </w:p>
    <w:p w14:paraId="66A4993E">
      <w:pPr>
        <w:spacing w:line="360" w:lineRule="auto"/>
        <w:ind w:firstLine="560"/>
        <w:rPr>
          <w:rFonts w:hint="eastAsia" w:ascii="宋体" w:hAnsi="宋体"/>
        </w:rPr>
      </w:pPr>
      <w:r>
        <w:rPr>
          <w:rFonts w:hint="eastAsia" w:ascii="宋体" w:hAnsi="宋体"/>
        </w:rPr>
        <w:t>4.试验、测试管理：组织编制并策划试验标准及出厂验收。</w:t>
      </w:r>
    </w:p>
    <w:p w14:paraId="5397D6E2">
      <w:pPr>
        <w:spacing w:line="360" w:lineRule="auto"/>
        <w:ind w:firstLine="560"/>
        <w:rPr>
          <w:rFonts w:hint="eastAsia" w:ascii="宋体" w:hAnsi="宋体"/>
        </w:rPr>
      </w:pPr>
      <w:r>
        <w:rPr>
          <w:rFonts w:hint="eastAsia" w:ascii="宋体" w:hAnsi="宋体"/>
        </w:rPr>
        <w:t>5.协调管理：编制内、外部接口细则，落实设备内部接口的实施，协调各系统间的接口。</w:t>
      </w:r>
    </w:p>
    <w:p w14:paraId="031B8382">
      <w:pPr>
        <w:spacing w:line="360" w:lineRule="auto"/>
        <w:ind w:firstLine="560"/>
        <w:rPr>
          <w:rFonts w:hint="eastAsia" w:ascii="宋体" w:hAnsi="宋体"/>
        </w:rPr>
      </w:pPr>
      <w:r>
        <w:rPr>
          <w:rFonts w:hint="eastAsia" w:ascii="宋体" w:hAnsi="宋体"/>
        </w:rPr>
        <w:t>6.运输、到货、仓储管理。</w:t>
      </w:r>
    </w:p>
    <w:p w14:paraId="5190B8D0">
      <w:pPr>
        <w:spacing w:line="360" w:lineRule="auto"/>
        <w:ind w:firstLine="560"/>
        <w:rPr>
          <w:rFonts w:hint="eastAsia" w:ascii="宋体" w:hAnsi="宋体"/>
        </w:rPr>
      </w:pPr>
      <w:r>
        <w:rPr>
          <w:rFonts w:hint="eastAsia" w:ascii="宋体" w:hAnsi="宋体"/>
        </w:rPr>
        <w:t>7.现场管理：对现场设备的安装、设备的调试、维修等工作提供技术支持并进行管理。</w:t>
      </w:r>
    </w:p>
    <w:p w14:paraId="380EF24F">
      <w:pPr>
        <w:spacing w:line="360" w:lineRule="auto"/>
        <w:ind w:firstLine="560"/>
        <w:rPr>
          <w:rFonts w:hint="eastAsia" w:ascii="宋体" w:hAnsi="宋体"/>
        </w:rPr>
      </w:pPr>
      <w:r>
        <w:rPr>
          <w:rFonts w:hint="eastAsia" w:ascii="宋体" w:hAnsi="宋体"/>
        </w:rPr>
        <w:t>8.图纸、文件管理：按照项目图纸和文件的管理程序，制定图纸和文件标准化的各项规定，向招标人提供各种图纸、文件。</w:t>
      </w:r>
    </w:p>
    <w:p w14:paraId="30729D03">
      <w:pPr>
        <w:widowControl/>
        <w:spacing w:line="360" w:lineRule="auto"/>
        <w:ind w:firstLine="360"/>
        <w:jc w:val="left"/>
        <w:outlineLvl w:val="1"/>
        <w:rPr>
          <w:rFonts w:hint="eastAsia" w:ascii="宋体" w:hAnsi="宋体"/>
        </w:rPr>
      </w:pPr>
      <w:bookmarkStart w:id="52" w:name="_Toc15353"/>
      <w:bookmarkStart w:id="53" w:name="_Toc5615"/>
      <w:bookmarkStart w:id="54" w:name="_Toc18942"/>
      <w:bookmarkStart w:id="55" w:name="_Toc6716"/>
      <w:bookmarkStart w:id="56" w:name="_Toc10249"/>
      <w:bookmarkStart w:id="57" w:name="_Toc14441"/>
      <w:bookmarkStart w:id="58" w:name="_Toc5112176"/>
      <w:bookmarkStart w:id="59" w:name="_Toc38273400"/>
      <w:bookmarkStart w:id="60" w:name="_Toc20299"/>
      <w:r>
        <w:rPr>
          <w:rFonts w:hint="eastAsia" w:ascii="宋体" w:hAnsi="宋体"/>
        </w:rPr>
        <w:t>7</w:t>
      </w:r>
      <w:r>
        <w:rPr>
          <w:rFonts w:ascii="宋体" w:hAnsi="宋体"/>
        </w:rPr>
        <w:t>.</w:t>
      </w:r>
      <w:r>
        <w:rPr>
          <w:rFonts w:hint="eastAsia" w:ascii="宋体" w:hAnsi="宋体"/>
        </w:rPr>
        <w:t>2组织机构人员的配置</w:t>
      </w:r>
      <w:bookmarkEnd w:id="52"/>
      <w:bookmarkEnd w:id="53"/>
      <w:bookmarkEnd w:id="54"/>
      <w:bookmarkEnd w:id="55"/>
      <w:bookmarkEnd w:id="56"/>
      <w:bookmarkEnd w:id="57"/>
      <w:bookmarkEnd w:id="58"/>
      <w:bookmarkEnd w:id="59"/>
      <w:bookmarkEnd w:id="60"/>
    </w:p>
    <w:p w14:paraId="37FE4D8A">
      <w:pPr>
        <w:spacing w:line="360" w:lineRule="auto"/>
        <w:ind w:firstLine="560"/>
        <w:rPr>
          <w:rFonts w:hint="eastAsia" w:ascii="宋体" w:hAnsi="宋体"/>
        </w:rPr>
      </w:pPr>
      <w:r>
        <w:rPr>
          <w:rFonts w:hint="eastAsia" w:ascii="宋体" w:hAnsi="宋体"/>
        </w:rPr>
        <w:t>组织机构人员的配置：组织机构必须配备（但不限于此）下列人员。</w:t>
      </w:r>
    </w:p>
    <w:p w14:paraId="31F16B9E">
      <w:pPr>
        <w:spacing w:line="360" w:lineRule="auto"/>
        <w:ind w:firstLine="560"/>
        <w:rPr>
          <w:rFonts w:hint="eastAsia" w:ascii="宋体" w:hAnsi="宋体"/>
        </w:rPr>
      </w:pPr>
      <w:r>
        <w:rPr>
          <w:rFonts w:hint="eastAsia" w:ascii="宋体" w:hAnsi="宋体"/>
        </w:rPr>
        <w:t>1.项目负责人：即本项目执行的负责人，对设备的设计、制造、安装具有丰富经验，生产厂家技术人员并具有工程师及以上职称。</w:t>
      </w:r>
    </w:p>
    <w:p w14:paraId="15BA66FD">
      <w:pPr>
        <w:spacing w:line="360" w:lineRule="auto"/>
        <w:ind w:firstLine="560"/>
        <w:rPr>
          <w:rFonts w:hint="eastAsia" w:ascii="宋体" w:hAnsi="宋体"/>
        </w:rPr>
      </w:pPr>
      <w:r>
        <w:rPr>
          <w:rFonts w:hint="eastAsia" w:ascii="宋体" w:hAnsi="宋体"/>
        </w:rPr>
        <w:t>2.技术负责人：制定技术标准及设备接口规范，讨论技术方案，监督、指导各种设备的软硬件设计等。</w:t>
      </w:r>
    </w:p>
    <w:p w14:paraId="2B0DC28A">
      <w:pPr>
        <w:spacing w:line="360" w:lineRule="auto"/>
        <w:ind w:firstLine="560"/>
        <w:rPr>
          <w:rFonts w:hint="eastAsia" w:ascii="宋体" w:hAnsi="宋体"/>
        </w:rPr>
      </w:pPr>
      <w:r>
        <w:rPr>
          <w:rFonts w:hint="eastAsia" w:ascii="宋体" w:hAnsi="宋体"/>
        </w:rPr>
        <w:t>3.现场服务人员：负责现场设备的安装、调试、落实设备接口的实施及维修等。</w:t>
      </w:r>
    </w:p>
    <w:p w14:paraId="49ECFEAD">
      <w:pPr>
        <w:spacing w:line="360" w:lineRule="auto"/>
        <w:ind w:firstLine="560"/>
        <w:rPr>
          <w:rFonts w:hint="eastAsia" w:ascii="宋体" w:hAnsi="宋体"/>
        </w:rPr>
      </w:pPr>
      <w:r>
        <w:rPr>
          <w:rFonts w:hint="eastAsia" w:ascii="宋体" w:hAnsi="宋体"/>
        </w:rPr>
        <w:t>4.组织机构人员的管理</w:t>
      </w:r>
    </w:p>
    <w:p w14:paraId="23F304D2">
      <w:pPr>
        <w:spacing w:line="360" w:lineRule="auto"/>
        <w:ind w:firstLine="560"/>
        <w:rPr>
          <w:rFonts w:hint="eastAsia" w:ascii="宋体" w:hAnsi="宋体"/>
        </w:rPr>
      </w:pPr>
      <w:r>
        <w:rPr>
          <w:rFonts w:hint="eastAsia" w:ascii="宋体" w:hAnsi="宋体"/>
        </w:rPr>
        <w:t>（1）</w:t>
      </w:r>
      <w:r>
        <w:rPr>
          <w:rFonts w:hint="eastAsia" w:ascii="宋体" w:hAnsi="宋体"/>
          <w:lang w:eastAsia="zh-CN"/>
        </w:rPr>
        <w:t>供应商</w:t>
      </w:r>
      <w:r>
        <w:rPr>
          <w:rFonts w:hint="eastAsia" w:ascii="宋体" w:hAnsi="宋体"/>
        </w:rPr>
        <w:t>不得随意更换项目的主要人员。</w:t>
      </w:r>
    </w:p>
    <w:p w14:paraId="3D0CBB30">
      <w:pPr>
        <w:spacing w:line="360" w:lineRule="auto"/>
        <w:ind w:firstLine="560"/>
        <w:rPr>
          <w:rFonts w:hint="eastAsia" w:ascii="宋体" w:hAnsi="宋体"/>
        </w:rPr>
      </w:pPr>
      <w:r>
        <w:rPr>
          <w:rFonts w:hint="eastAsia" w:ascii="宋体" w:hAnsi="宋体"/>
        </w:rPr>
        <w:t>（2）当招标人认为项目成员不能胜任其工作时，</w:t>
      </w:r>
      <w:r>
        <w:rPr>
          <w:rFonts w:hint="eastAsia" w:ascii="宋体" w:hAnsi="宋体"/>
          <w:lang w:eastAsia="zh-CN"/>
        </w:rPr>
        <w:t>供应商</w:t>
      </w:r>
      <w:r>
        <w:rPr>
          <w:rFonts w:hint="eastAsia" w:ascii="宋体" w:hAnsi="宋体"/>
        </w:rPr>
        <w:t>需按照招标人要求更换。</w:t>
      </w:r>
      <w:r>
        <w:rPr>
          <w:rFonts w:hint="eastAsia" w:ascii="宋体" w:hAnsi="宋体"/>
          <w:lang w:eastAsia="zh-CN"/>
        </w:rPr>
        <w:t>供应商</w:t>
      </w:r>
      <w:r>
        <w:rPr>
          <w:rFonts w:hint="eastAsia" w:ascii="宋体" w:hAnsi="宋体"/>
        </w:rPr>
        <w:t>应选派资历和经验能被招标人认可的人员报招标人审批。</w:t>
      </w:r>
    </w:p>
    <w:p w14:paraId="2C76048B">
      <w:pPr>
        <w:widowControl/>
        <w:spacing w:line="360" w:lineRule="auto"/>
        <w:ind w:firstLine="360"/>
        <w:jc w:val="left"/>
        <w:outlineLvl w:val="1"/>
        <w:rPr>
          <w:rFonts w:hint="eastAsia" w:ascii="宋体" w:hAnsi="宋体"/>
        </w:rPr>
      </w:pPr>
      <w:bookmarkStart w:id="61" w:name="_Toc17731"/>
      <w:bookmarkStart w:id="62" w:name="_Toc38273401"/>
      <w:bookmarkStart w:id="63" w:name="_Toc25056"/>
      <w:bookmarkStart w:id="64" w:name="_Toc26543"/>
      <w:bookmarkStart w:id="65" w:name="_Toc13577"/>
      <w:bookmarkStart w:id="66" w:name="_Toc21026"/>
      <w:bookmarkStart w:id="67" w:name="_Toc5112177"/>
      <w:bookmarkStart w:id="68" w:name="_Toc12114"/>
      <w:bookmarkStart w:id="69" w:name="_Toc2081"/>
      <w:r>
        <w:rPr>
          <w:rFonts w:hint="eastAsia" w:ascii="宋体" w:hAnsi="宋体"/>
        </w:rPr>
        <w:t>7</w:t>
      </w:r>
      <w:r>
        <w:rPr>
          <w:rFonts w:ascii="宋体" w:hAnsi="宋体"/>
        </w:rPr>
        <w:t>.</w:t>
      </w:r>
      <w:r>
        <w:rPr>
          <w:rFonts w:hint="eastAsia" w:ascii="宋体" w:hAnsi="宋体"/>
        </w:rPr>
        <w:t>3项目实施计划</w:t>
      </w:r>
      <w:bookmarkEnd w:id="61"/>
      <w:bookmarkEnd w:id="62"/>
      <w:bookmarkEnd w:id="63"/>
      <w:bookmarkEnd w:id="64"/>
      <w:bookmarkEnd w:id="65"/>
      <w:bookmarkEnd w:id="66"/>
      <w:bookmarkEnd w:id="67"/>
      <w:bookmarkEnd w:id="68"/>
      <w:bookmarkEnd w:id="69"/>
    </w:p>
    <w:p w14:paraId="469915BF">
      <w:pPr>
        <w:spacing w:line="360" w:lineRule="auto"/>
        <w:ind w:firstLine="560"/>
        <w:rPr>
          <w:rFonts w:hint="eastAsia" w:ascii="宋体" w:hAnsi="宋体"/>
        </w:rPr>
      </w:pPr>
      <w:r>
        <w:rPr>
          <w:rFonts w:hint="eastAsia" w:ascii="宋体" w:hAnsi="宋体"/>
        </w:rPr>
        <w:t>1.</w:t>
      </w:r>
      <w:r>
        <w:rPr>
          <w:rFonts w:hint="eastAsia" w:ascii="宋体" w:hAnsi="宋体"/>
          <w:lang w:eastAsia="zh-CN"/>
        </w:rPr>
        <w:t>供应商</w:t>
      </w:r>
      <w:r>
        <w:rPr>
          <w:rFonts w:hint="eastAsia" w:ascii="宋体" w:hAnsi="宋体"/>
        </w:rPr>
        <w:t>应按本用户需求书的规定，在合同执行期间的每个阶段开始前规定的时间内向招标人提交计划供招标人审批，并按月提交进度报告。这些计划包括，但不限于</w:t>
      </w:r>
    </w:p>
    <w:p w14:paraId="79E424A3">
      <w:pPr>
        <w:spacing w:line="360" w:lineRule="auto"/>
        <w:ind w:firstLine="560"/>
        <w:rPr>
          <w:rFonts w:hint="eastAsia" w:ascii="宋体" w:hAnsi="宋体"/>
        </w:rPr>
      </w:pPr>
      <w:r>
        <w:rPr>
          <w:rFonts w:hint="eastAsia" w:ascii="宋体" w:hAnsi="宋体"/>
        </w:rPr>
        <w:t>（1）合同执行总体进度控制计划。</w:t>
      </w:r>
    </w:p>
    <w:p w14:paraId="405E82C4">
      <w:pPr>
        <w:spacing w:line="360" w:lineRule="auto"/>
        <w:ind w:firstLine="560"/>
        <w:rPr>
          <w:rFonts w:hint="eastAsia" w:ascii="宋体" w:hAnsi="宋体"/>
        </w:rPr>
      </w:pPr>
      <w:r>
        <w:rPr>
          <w:rFonts w:hint="eastAsia" w:ascii="宋体" w:hAnsi="宋体"/>
        </w:rPr>
        <w:t>（2）设计进度计划。</w:t>
      </w:r>
    </w:p>
    <w:p w14:paraId="04CB754B">
      <w:pPr>
        <w:spacing w:line="360" w:lineRule="auto"/>
        <w:ind w:firstLine="560"/>
        <w:rPr>
          <w:rFonts w:hint="eastAsia" w:ascii="宋体" w:hAnsi="宋体"/>
        </w:rPr>
      </w:pPr>
      <w:r>
        <w:rPr>
          <w:rFonts w:hint="eastAsia" w:ascii="宋体" w:hAnsi="宋体"/>
        </w:rPr>
        <w:t>（3）设计联络计划。</w:t>
      </w:r>
    </w:p>
    <w:p w14:paraId="0C5F7ACB">
      <w:pPr>
        <w:spacing w:line="360" w:lineRule="auto"/>
        <w:ind w:firstLine="560"/>
        <w:rPr>
          <w:rFonts w:hint="eastAsia" w:ascii="宋体" w:hAnsi="宋体"/>
        </w:rPr>
      </w:pPr>
      <w:r>
        <w:rPr>
          <w:rFonts w:hint="eastAsia" w:ascii="宋体" w:hAnsi="宋体"/>
        </w:rPr>
        <w:t>（4）接口协调计划：应包括接口内容、时间和责任等。</w:t>
      </w:r>
    </w:p>
    <w:p w14:paraId="45F6683B">
      <w:pPr>
        <w:spacing w:line="360" w:lineRule="auto"/>
        <w:ind w:firstLine="560"/>
        <w:rPr>
          <w:rFonts w:hint="eastAsia" w:ascii="宋体" w:hAnsi="宋体"/>
        </w:rPr>
      </w:pPr>
      <w:r>
        <w:rPr>
          <w:rFonts w:hint="eastAsia" w:ascii="宋体" w:hAnsi="宋体"/>
        </w:rPr>
        <w:t>（5）产品材料（包括设备的软、硬件）生产、制造进度计划。</w:t>
      </w:r>
    </w:p>
    <w:p w14:paraId="190978E7">
      <w:pPr>
        <w:spacing w:line="360" w:lineRule="auto"/>
        <w:ind w:firstLine="560"/>
        <w:rPr>
          <w:rFonts w:hint="eastAsia" w:ascii="宋体" w:hAnsi="宋体"/>
        </w:rPr>
      </w:pPr>
      <w:r>
        <w:rPr>
          <w:rFonts w:hint="eastAsia" w:ascii="宋体" w:hAnsi="宋体"/>
        </w:rPr>
        <w:t>（6）工厂测试与出厂验收计划：应包括测试和验收的内容、地点和时间等。</w:t>
      </w:r>
    </w:p>
    <w:p w14:paraId="1B6FE4C0">
      <w:pPr>
        <w:spacing w:line="360" w:lineRule="auto"/>
        <w:ind w:firstLine="560"/>
        <w:rPr>
          <w:rFonts w:hint="eastAsia" w:ascii="宋体" w:hAnsi="宋体"/>
        </w:rPr>
      </w:pPr>
      <w:r>
        <w:rPr>
          <w:rFonts w:hint="eastAsia" w:ascii="宋体" w:hAnsi="宋体"/>
        </w:rPr>
        <w:t>（7）供货进度计划：应包括运输方式、工具、包装和仓储等。</w:t>
      </w:r>
    </w:p>
    <w:p w14:paraId="2EA76162">
      <w:pPr>
        <w:spacing w:line="360" w:lineRule="auto"/>
        <w:ind w:firstLine="560"/>
        <w:rPr>
          <w:rFonts w:hint="eastAsia" w:ascii="宋体" w:hAnsi="宋体"/>
        </w:rPr>
      </w:pPr>
      <w:r>
        <w:rPr>
          <w:rFonts w:hint="eastAsia" w:ascii="宋体" w:hAnsi="宋体"/>
        </w:rPr>
        <w:t>（8）安装调试及验收计划：应包括施工安装、设备调试、预验收、耐久性和稳定性检验、最终验收。</w:t>
      </w:r>
    </w:p>
    <w:p w14:paraId="664FB8F4">
      <w:pPr>
        <w:spacing w:line="360" w:lineRule="auto"/>
        <w:ind w:firstLine="560"/>
        <w:rPr>
          <w:rFonts w:hint="eastAsia" w:ascii="宋体" w:hAnsi="宋体"/>
        </w:rPr>
      </w:pPr>
      <w:r>
        <w:rPr>
          <w:rFonts w:hint="eastAsia" w:ascii="宋体" w:hAnsi="宋体"/>
        </w:rPr>
        <w:t>（9）图纸、技术文件提交计划：应包括图纸、技术文件编制规定和提交时间。</w:t>
      </w:r>
    </w:p>
    <w:p w14:paraId="1B774601">
      <w:pPr>
        <w:spacing w:line="360" w:lineRule="auto"/>
        <w:ind w:firstLine="560"/>
        <w:rPr>
          <w:rFonts w:hint="eastAsia" w:ascii="宋体" w:hAnsi="宋体"/>
        </w:rPr>
      </w:pPr>
      <w:r>
        <w:rPr>
          <w:rFonts w:hint="eastAsia" w:ascii="宋体" w:hAnsi="宋体"/>
        </w:rPr>
        <w:t>（10）培训计划（包括现场培训和工厂培训）。</w:t>
      </w:r>
    </w:p>
    <w:p w14:paraId="49C55447">
      <w:pPr>
        <w:spacing w:line="360" w:lineRule="auto"/>
        <w:ind w:firstLine="560"/>
        <w:rPr>
          <w:rFonts w:hint="eastAsia" w:ascii="宋体" w:hAnsi="宋体"/>
        </w:rPr>
      </w:pPr>
      <w:r>
        <w:rPr>
          <w:rFonts w:hint="eastAsia" w:ascii="宋体" w:hAnsi="宋体"/>
        </w:rPr>
        <w:t>（11）质保期维护计划。</w:t>
      </w:r>
    </w:p>
    <w:p w14:paraId="323EFF4F">
      <w:pPr>
        <w:spacing w:line="360" w:lineRule="auto"/>
        <w:ind w:firstLine="560"/>
        <w:rPr>
          <w:rFonts w:hint="eastAsia" w:ascii="宋体" w:hAnsi="宋体"/>
        </w:rPr>
      </w:pPr>
      <w:r>
        <w:rPr>
          <w:rFonts w:hint="eastAsia" w:ascii="宋体" w:hAnsi="宋体"/>
        </w:rPr>
        <w:t>每个阶段开始之前45天，</w:t>
      </w:r>
      <w:r>
        <w:rPr>
          <w:rFonts w:hint="eastAsia" w:ascii="宋体" w:hAnsi="宋体"/>
          <w:lang w:eastAsia="zh-CN"/>
        </w:rPr>
        <w:t>供应商</w:t>
      </w:r>
      <w:r>
        <w:rPr>
          <w:rFonts w:hint="eastAsia" w:ascii="宋体" w:hAnsi="宋体"/>
        </w:rPr>
        <w:t>应向招标人提交本阶段计划供招标人审批，该计划应符合本工程进度控制的规定。</w:t>
      </w:r>
    </w:p>
    <w:p w14:paraId="35D55989">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应在投标文件中提交上述文件。</w:t>
      </w:r>
    </w:p>
    <w:p w14:paraId="54D89C75">
      <w:pPr>
        <w:spacing w:line="360" w:lineRule="auto"/>
        <w:ind w:firstLine="560"/>
        <w:rPr>
          <w:rFonts w:hint="eastAsia" w:ascii="宋体" w:hAnsi="宋体"/>
        </w:rPr>
      </w:pPr>
      <w:r>
        <w:rPr>
          <w:rFonts w:hint="eastAsia" w:ascii="宋体" w:hAnsi="宋体"/>
        </w:rPr>
        <w:t>2.</w:t>
      </w:r>
      <w:r>
        <w:rPr>
          <w:rFonts w:hint="eastAsia" w:ascii="宋体" w:hAnsi="宋体"/>
          <w:lang w:eastAsia="zh-CN"/>
        </w:rPr>
        <w:t>供应商</w:t>
      </w:r>
      <w:r>
        <w:rPr>
          <w:rFonts w:hint="eastAsia" w:ascii="宋体" w:hAnsi="宋体"/>
        </w:rPr>
        <w:t>应对照合同执行的各个阶段，做出详细的项目管理实施方案，在投标文件中的项目执行计划和项目管理实施方案将作为合同附件。</w:t>
      </w:r>
    </w:p>
    <w:p w14:paraId="14F71D7B">
      <w:pPr>
        <w:widowControl/>
        <w:spacing w:line="360" w:lineRule="auto"/>
        <w:jc w:val="left"/>
        <w:outlineLvl w:val="0"/>
        <w:rPr>
          <w:rFonts w:hint="eastAsia" w:ascii="宋体" w:hAnsi="宋体"/>
          <w:b/>
        </w:rPr>
      </w:pPr>
      <w:bookmarkStart w:id="70" w:name="_Toc19245"/>
      <w:bookmarkStart w:id="71" w:name="_Toc38273402"/>
      <w:bookmarkStart w:id="72" w:name="_Toc17854"/>
      <w:bookmarkStart w:id="73" w:name="_Toc29654"/>
      <w:bookmarkStart w:id="74" w:name="_Toc5112178"/>
      <w:bookmarkStart w:id="75" w:name="_Toc15915"/>
      <w:bookmarkStart w:id="76" w:name="_Toc15392"/>
      <w:bookmarkStart w:id="77" w:name="_Toc3650"/>
      <w:r>
        <w:rPr>
          <w:rFonts w:hint="eastAsia" w:ascii="宋体" w:hAnsi="宋体"/>
          <w:b/>
        </w:rPr>
        <w:t>8.职责范围</w:t>
      </w:r>
      <w:bookmarkEnd w:id="70"/>
      <w:bookmarkEnd w:id="71"/>
      <w:bookmarkEnd w:id="72"/>
      <w:bookmarkEnd w:id="73"/>
      <w:bookmarkEnd w:id="74"/>
      <w:bookmarkEnd w:id="75"/>
      <w:bookmarkEnd w:id="76"/>
      <w:bookmarkEnd w:id="77"/>
    </w:p>
    <w:p w14:paraId="6732BD84">
      <w:pPr>
        <w:spacing w:line="360" w:lineRule="auto"/>
        <w:ind w:firstLine="560"/>
        <w:rPr>
          <w:rFonts w:hint="eastAsia" w:ascii="宋体" w:hAnsi="宋体"/>
        </w:rPr>
      </w:pPr>
      <w:r>
        <w:rPr>
          <w:rFonts w:hint="eastAsia" w:ascii="宋体" w:hAnsi="宋体"/>
        </w:rPr>
        <w:t>各方的职责范围包括但不限于以下内容：</w:t>
      </w:r>
    </w:p>
    <w:p w14:paraId="209D55E2">
      <w:pPr>
        <w:widowControl/>
        <w:spacing w:line="360" w:lineRule="auto"/>
        <w:ind w:firstLine="360"/>
        <w:jc w:val="left"/>
        <w:outlineLvl w:val="1"/>
        <w:rPr>
          <w:rFonts w:hint="eastAsia" w:ascii="宋体" w:hAnsi="宋体" w:eastAsiaTheme="minorEastAsia"/>
          <w:lang w:eastAsia="zh-CN"/>
        </w:rPr>
      </w:pPr>
      <w:bookmarkStart w:id="78" w:name="_Toc29715"/>
      <w:bookmarkStart w:id="79" w:name="_Toc5112179"/>
      <w:bookmarkStart w:id="80" w:name="_Toc24920"/>
      <w:bookmarkStart w:id="81" w:name="_Toc9911"/>
      <w:bookmarkStart w:id="82" w:name="_Toc3059"/>
      <w:bookmarkStart w:id="83" w:name="_Toc26509"/>
      <w:bookmarkStart w:id="84" w:name="_Toc38273403"/>
      <w:bookmarkStart w:id="85" w:name="_Toc22551"/>
      <w:bookmarkStart w:id="86" w:name="_Toc29696"/>
      <w:r>
        <w:rPr>
          <w:rFonts w:hint="eastAsia" w:ascii="宋体" w:hAnsi="宋体"/>
        </w:rPr>
        <w:t>8.1</w:t>
      </w:r>
      <w:bookmarkEnd w:id="78"/>
      <w:bookmarkEnd w:id="79"/>
      <w:bookmarkEnd w:id="80"/>
      <w:bookmarkEnd w:id="81"/>
      <w:bookmarkEnd w:id="82"/>
      <w:bookmarkEnd w:id="83"/>
      <w:bookmarkEnd w:id="84"/>
      <w:bookmarkEnd w:id="85"/>
      <w:bookmarkEnd w:id="86"/>
      <w:r>
        <w:rPr>
          <w:rFonts w:hint="eastAsia" w:ascii="宋体" w:hAnsi="宋体"/>
          <w:lang w:eastAsia="zh-CN"/>
        </w:rPr>
        <w:t>供应商</w:t>
      </w:r>
    </w:p>
    <w:p w14:paraId="4EF48C47">
      <w:pPr>
        <w:spacing w:line="360" w:lineRule="auto"/>
        <w:ind w:firstLine="560"/>
        <w:rPr>
          <w:rFonts w:hint="eastAsia" w:ascii="宋体" w:hAnsi="宋体"/>
        </w:rPr>
      </w:pPr>
      <w:r>
        <w:rPr>
          <w:rFonts w:hint="eastAsia" w:ascii="宋体" w:hAnsi="宋体"/>
        </w:rPr>
        <w:t>1.设计联络</w:t>
      </w:r>
    </w:p>
    <w:p w14:paraId="16B65D15">
      <w:pPr>
        <w:spacing w:line="360" w:lineRule="auto"/>
        <w:ind w:firstLine="560"/>
        <w:rPr>
          <w:rFonts w:hint="eastAsia" w:ascii="宋体" w:hAnsi="宋体"/>
        </w:rPr>
      </w:pPr>
      <w:r>
        <w:rPr>
          <w:rFonts w:hint="eastAsia" w:ascii="宋体" w:hAnsi="宋体"/>
        </w:rPr>
        <w:t>（1）参加设计联络，并提供与设计联络有关的图纸、技术文件。</w:t>
      </w:r>
    </w:p>
    <w:p w14:paraId="6D1DA792">
      <w:pPr>
        <w:spacing w:line="360" w:lineRule="auto"/>
        <w:ind w:firstLine="560"/>
        <w:rPr>
          <w:rFonts w:hint="eastAsia" w:ascii="宋体" w:hAnsi="宋体"/>
        </w:rPr>
      </w:pPr>
      <w:r>
        <w:rPr>
          <w:rFonts w:hint="eastAsia" w:ascii="宋体" w:hAnsi="宋体"/>
        </w:rPr>
        <w:t>（2）</w:t>
      </w:r>
      <w:r>
        <w:rPr>
          <w:rFonts w:hint="eastAsia" w:ascii="宋体" w:hAnsi="宋体"/>
          <w:lang w:eastAsia="zh-CN"/>
        </w:rPr>
        <w:t>供应商</w:t>
      </w:r>
      <w:r>
        <w:rPr>
          <w:rFonts w:hint="eastAsia" w:ascii="宋体" w:hAnsi="宋体"/>
        </w:rPr>
        <w:t>提供的详细图纸、文件具体要求参见“设计联络”相关内容。</w:t>
      </w:r>
    </w:p>
    <w:p w14:paraId="25B28E0B">
      <w:pPr>
        <w:spacing w:line="360" w:lineRule="auto"/>
        <w:ind w:firstLine="560"/>
        <w:rPr>
          <w:rFonts w:hint="eastAsia" w:ascii="宋体" w:hAnsi="宋体"/>
        </w:rPr>
      </w:pPr>
      <w:r>
        <w:rPr>
          <w:rFonts w:hint="eastAsia" w:ascii="宋体" w:hAnsi="宋体"/>
        </w:rPr>
        <w:t>（3）</w:t>
      </w:r>
      <w:r>
        <w:rPr>
          <w:rFonts w:hint="eastAsia" w:ascii="宋体" w:hAnsi="宋体"/>
          <w:lang w:eastAsia="zh-CN"/>
        </w:rPr>
        <w:t>供应商</w:t>
      </w:r>
      <w:r>
        <w:rPr>
          <w:rFonts w:hint="eastAsia" w:ascii="宋体" w:hAnsi="宋体"/>
        </w:rPr>
        <w:t>应为招标人设计联络人员提供办公设施、交通条件和生活条件。</w:t>
      </w:r>
    </w:p>
    <w:p w14:paraId="4DFFF52A">
      <w:pPr>
        <w:spacing w:line="360" w:lineRule="auto"/>
        <w:ind w:firstLine="560"/>
        <w:rPr>
          <w:rFonts w:hint="eastAsia" w:ascii="宋体" w:hAnsi="宋体"/>
        </w:rPr>
      </w:pPr>
      <w:r>
        <w:rPr>
          <w:rFonts w:hint="eastAsia" w:ascii="宋体" w:hAnsi="宋体"/>
        </w:rPr>
        <w:t>（4）参加与其他相关专业的设计联络。</w:t>
      </w:r>
    </w:p>
    <w:p w14:paraId="6F6D3CCC">
      <w:pPr>
        <w:spacing w:line="360" w:lineRule="auto"/>
        <w:ind w:firstLine="560"/>
        <w:rPr>
          <w:rFonts w:hint="eastAsia" w:ascii="宋体" w:hAnsi="宋体"/>
        </w:rPr>
      </w:pPr>
      <w:r>
        <w:rPr>
          <w:rFonts w:hint="eastAsia" w:ascii="宋体" w:hAnsi="宋体"/>
        </w:rPr>
        <w:t>2.产品设计</w:t>
      </w:r>
    </w:p>
    <w:p w14:paraId="4CC25791">
      <w:pPr>
        <w:spacing w:line="360" w:lineRule="auto"/>
        <w:ind w:firstLine="560"/>
        <w:rPr>
          <w:rFonts w:hint="eastAsia" w:ascii="宋体" w:hAnsi="宋体"/>
        </w:rPr>
      </w:pPr>
      <w:r>
        <w:rPr>
          <w:rFonts w:hint="eastAsia" w:ascii="宋体" w:hAnsi="宋体"/>
        </w:rPr>
        <w:t>（1）按招标人确认的设计方案，完成产品详细设计。</w:t>
      </w:r>
    </w:p>
    <w:p w14:paraId="56A64073">
      <w:pPr>
        <w:spacing w:line="360" w:lineRule="auto"/>
        <w:ind w:firstLine="560"/>
        <w:rPr>
          <w:rFonts w:hint="eastAsia" w:ascii="宋体" w:hAnsi="宋体"/>
        </w:rPr>
      </w:pPr>
      <w:r>
        <w:rPr>
          <w:rFonts w:hint="eastAsia" w:ascii="宋体" w:hAnsi="宋体"/>
        </w:rPr>
        <w:t>（2）提供产品设计图纸、文件、电子文档、安装手册、操作手册、维护手册等。</w:t>
      </w:r>
    </w:p>
    <w:p w14:paraId="43034F66">
      <w:pPr>
        <w:spacing w:line="360" w:lineRule="auto"/>
        <w:ind w:firstLine="525" w:firstLineChars="250"/>
        <w:rPr>
          <w:rFonts w:hint="eastAsia" w:ascii="宋体" w:hAnsi="宋体"/>
        </w:rPr>
      </w:pPr>
      <w:r>
        <w:rPr>
          <w:rFonts w:hint="eastAsia" w:ascii="宋体" w:hAnsi="宋体"/>
        </w:rPr>
        <w:t>（3）设备设计时要充分考虑设备运输、安装的起吊问题。</w:t>
      </w:r>
    </w:p>
    <w:p w14:paraId="7109CACD">
      <w:pPr>
        <w:spacing w:line="360" w:lineRule="auto"/>
        <w:ind w:firstLine="560"/>
        <w:rPr>
          <w:rFonts w:hint="eastAsia" w:ascii="宋体" w:hAnsi="宋体"/>
        </w:rPr>
      </w:pPr>
      <w:r>
        <w:rPr>
          <w:rFonts w:hint="eastAsia" w:ascii="宋体" w:hAnsi="宋体"/>
        </w:rPr>
        <w:t>3.接口设计</w:t>
      </w:r>
    </w:p>
    <w:p w14:paraId="1FB61701">
      <w:pPr>
        <w:spacing w:line="360" w:lineRule="auto"/>
        <w:ind w:firstLine="560"/>
        <w:rPr>
          <w:rFonts w:hint="eastAsia" w:ascii="宋体" w:hAnsi="宋体"/>
        </w:rPr>
      </w:pPr>
      <w:r>
        <w:rPr>
          <w:rFonts w:hint="eastAsia" w:ascii="宋体" w:hAnsi="宋体"/>
        </w:rPr>
        <w:t>（1）服从招标人接口管理工作，参加招标人组织的接口协调会议。</w:t>
      </w:r>
    </w:p>
    <w:p w14:paraId="279D5702">
      <w:pPr>
        <w:spacing w:line="360" w:lineRule="auto"/>
        <w:ind w:firstLine="560"/>
        <w:rPr>
          <w:rFonts w:hint="eastAsia" w:ascii="宋体" w:hAnsi="宋体"/>
        </w:rPr>
      </w:pPr>
      <w:r>
        <w:rPr>
          <w:rFonts w:hint="eastAsia" w:ascii="宋体" w:hAnsi="宋体"/>
        </w:rPr>
        <w:t>（2）配合其他</w:t>
      </w:r>
      <w:r>
        <w:rPr>
          <w:rFonts w:hint="eastAsia" w:ascii="宋体" w:hAnsi="宋体"/>
          <w:lang w:eastAsia="zh-CN"/>
        </w:rPr>
        <w:t>供应商</w:t>
      </w:r>
      <w:r>
        <w:rPr>
          <w:rFonts w:hint="eastAsia" w:ascii="宋体" w:hAnsi="宋体"/>
        </w:rPr>
        <w:t>完成相关接口设计。</w:t>
      </w:r>
    </w:p>
    <w:p w14:paraId="5A1FB2CE">
      <w:pPr>
        <w:spacing w:line="360" w:lineRule="auto"/>
        <w:ind w:firstLine="560"/>
        <w:rPr>
          <w:rFonts w:hint="eastAsia" w:ascii="宋体" w:hAnsi="宋体"/>
        </w:rPr>
      </w:pPr>
      <w:r>
        <w:rPr>
          <w:rFonts w:hint="eastAsia" w:ascii="宋体" w:hAnsi="宋体"/>
        </w:rPr>
        <w:t>4.设备制造</w:t>
      </w:r>
    </w:p>
    <w:p w14:paraId="0D1B62D4">
      <w:pPr>
        <w:spacing w:line="360" w:lineRule="auto"/>
        <w:ind w:firstLine="560"/>
        <w:rPr>
          <w:rFonts w:hint="eastAsia" w:ascii="宋体" w:hAnsi="宋体"/>
        </w:rPr>
      </w:pPr>
      <w:r>
        <w:rPr>
          <w:rFonts w:hint="eastAsia" w:ascii="宋体" w:hAnsi="宋体"/>
        </w:rPr>
        <w:t>（1）制定设备制造计划。</w:t>
      </w:r>
    </w:p>
    <w:p w14:paraId="6EAB1842">
      <w:pPr>
        <w:spacing w:line="360" w:lineRule="auto"/>
        <w:ind w:firstLine="560"/>
        <w:rPr>
          <w:rFonts w:hint="eastAsia" w:ascii="宋体" w:hAnsi="宋体"/>
        </w:rPr>
      </w:pPr>
      <w:r>
        <w:rPr>
          <w:rFonts w:hint="eastAsia" w:ascii="宋体" w:hAnsi="宋体"/>
        </w:rPr>
        <w:t>（2）所有设计图纸、文件必须首先提交给招标人审核确认后，方可投入生产。</w:t>
      </w:r>
    </w:p>
    <w:p w14:paraId="34CE937D">
      <w:pPr>
        <w:spacing w:line="360" w:lineRule="auto"/>
        <w:ind w:firstLine="560"/>
        <w:rPr>
          <w:rFonts w:hint="eastAsia" w:ascii="宋体" w:hAnsi="宋体"/>
        </w:rPr>
      </w:pPr>
      <w:r>
        <w:rPr>
          <w:rFonts w:hint="eastAsia" w:ascii="宋体" w:hAnsi="宋体"/>
        </w:rPr>
        <w:t>（3）应按照ISO9000系列质量管理体系要求，负责设备制造全过程的质量控制。</w:t>
      </w:r>
    </w:p>
    <w:p w14:paraId="73FCF175">
      <w:pPr>
        <w:spacing w:line="360" w:lineRule="auto"/>
        <w:ind w:firstLine="560"/>
        <w:rPr>
          <w:rFonts w:hint="eastAsia" w:ascii="宋体" w:hAnsi="宋体"/>
        </w:rPr>
      </w:pPr>
      <w:r>
        <w:rPr>
          <w:rFonts w:hint="eastAsia" w:ascii="宋体" w:hAnsi="宋体"/>
        </w:rPr>
        <w:t>（4）向招标人提供原材料采购清单（含规格、型号、原产地等）、主要原材料检验报告、生产工艺流程图及设备装配图纸。</w:t>
      </w:r>
    </w:p>
    <w:p w14:paraId="49C8078B">
      <w:pPr>
        <w:spacing w:line="360" w:lineRule="auto"/>
        <w:ind w:firstLine="560"/>
        <w:rPr>
          <w:rFonts w:hint="eastAsia" w:ascii="宋体" w:hAnsi="宋体"/>
        </w:rPr>
      </w:pPr>
      <w:r>
        <w:rPr>
          <w:rFonts w:hint="eastAsia" w:ascii="宋体" w:hAnsi="宋体"/>
        </w:rPr>
        <w:t>（5）主要外协和外购件制造单位的调查</w:t>
      </w:r>
    </w:p>
    <w:p w14:paraId="19D64B05">
      <w:pPr>
        <w:spacing w:line="360" w:lineRule="auto"/>
        <w:ind w:firstLine="560"/>
        <w:rPr>
          <w:rFonts w:hint="eastAsia" w:ascii="宋体" w:hAnsi="宋体"/>
        </w:rPr>
      </w:pPr>
      <w:r>
        <w:rPr>
          <w:rFonts w:hint="eastAsia" w:ascii="宋体" w:hAnsi="宋体"/>
        </w:rPr>
        <w:t>投标文件中，</w:t>
      </w:r>
      <w:r>
        <w:rPr>
          <w:rFonts w:hint="eastAsia" w:ascii="宋体" w:hAnsi="宋体"/>
          <w:lang w:eastAsia="zh-CN"/>
        </w:rPr>
        <w:t>供应商</w:t>
      </w:r>
      <w:r>
        <w:rPr>
          <w:rFonts w:hint="eastAsia" w:ascii="宋体" w:hAnsi="宋体"/>
        </w:rPr>
        <w:t>应提供设备主要部件的外协和外购件制造单位名录，供招标人确认。</w:t>
      </w:r>
    </w:p>
    <w:p w14:paraId="4D08CB65">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有义务协助招标人进行调查，如有费用，由</w:t>
      </w:r>
      <w:r>
        <w:rPr>
          <w:rFonts w:hint="eastAsia" w:ascii="宋体" w:hAnsi="宋体"/>
          <w:lang w:eastAsia="zh-CN"/>
        </w:rPr>
        <w:t>供应商</w:t>
      </w:r>
      <w:r>
        <w:rPr>
          <w:rFonts w:hint="eastAsia" w:ascii="宋体" w:hAnsi="宋体"/>
        </w:rPr>
        <w:t>提供。调查的主要内容应包括但不限于：工厂的资质、生产能力、技术水平、管理水平、产品执行标准和质量情况。在调查开始前30天，</w:t>
      </w:r>
      <w:r>
        <w:rPr>
          <w:rFonts w:hint="eastAsia" w:ascii="宋体" w:hAnsi="宋体"/>
          <w:lang w:eastAsia="zh-CN"/>
        </w:rPr>
        <w:t>供应商</w:t>
      </w:r>
      <w:r>
        <w:rPr>
          <w:rFonts w:hint="eastAsia" w:ascii="宋体" w:hAnsi="宋体"/>
        </w:rPr>
        <w:t>应向招标人提交这些工厂的情况介绍、相关的试验报告以及相关技术标准等。</w:t>
      </w:r>
    </w:p>
    <w:p w14:paraId="656FAD98">
      <w:pPr>
        <w:spacing w:line="360" w:lineRule="auto"/>
        <w:ind w:firstLine="560"/>
        <w:rPr>
          <w:rFonts w:hint="eastAsia" w:ascii="宋体" w:hAnsi="宋体"/>
        </w:rPr>
      </w:pPr>
      <w:r>
        <w:rPr>
          <w:rFonts w:hint="eastAsia" w:ascii="宋体" w:hAnsi="宋体"/>
        </w:rPr>
        <w:t>调查结果应形成纪要。如招标人有理由认为某单位不宜参与本工程项目，</w:t>
      </w:r>
      <w:r>
        <w:rPr>
          <w:rFonts w:hint="eastAsia" w:ascii="宋体" w:hAnsi="宋体"/>
          <w:lang w:eastAsia="zh-CN"/>
        </w:rPr>
        <w:t>供应商</w:t>
      </w:r>
      <w:r>
        <w:rPr>
          <w:rFonts w:hint="eastAsia" w:ascii="宋体" w:hAnsi="宋体"/>
        </w:rPr>
        <w:t>应另外选择合适的单位，并仍接受调查。</w:t>
      </w:r>
    </w:p>
    <w:p w14:paraId="08637A23">
      <w:pPr>
        <w:spacing w:line="360" w:lineRule="auto"/>
        <w:ind w:firstLine="560"/>
        <w:rPr>
          <w:rFonts w:hint="eastAsia" w:ascii="宋体" w:hAnsi="宋体"/>
        </w:rPr>
      </w:pPr>
      <w:r>
        <w:rPr>
          <w:rFonts w:hint="eastAsia" w:ascii="宋体" w:hAnsi="宋体"/>
        </w:rPr>
        <w:t>由国外原装进口的外协件、外购件，如招标人同意免除调查，则改为</w:t>
      </w:r>
      <w:r>
        <w:rPr>
          <w:rFonts w:hint="eastAsia" w:ascii="宋体" w:hAnsi="宋体"/>
          <w:lang w:eastAsia="zh-CN"/>
        </w:rPr>
        <w:t>供应商</w:t>
      </w:r>
      <w:r>
        <w:rPr>
          <w:rFonts w:hint="eastAsia" w:ascii="宋体" w:hAnsi="宋体"/>
        </w:rPr>
        <w:t>提交制造厂情况介绍、原产地证明和质量证书等。</w:t>
      </w:r>
    </w:p>
    <w:p w14:paraId="6B5142FD">
      <w:pPr>
        <w:spacing w:line="360" w:lineRule="auto"/>
        <w:ind w:firstLine="560"/>
        <w:rPr>
          <w:rFonts w:hint="eastAsia" w:ascii="宋体" w:hAnsi="宋体"/>
        </w:rPr>
      </w:pPr>
      <w:r>
        <w:rPr>
          <w:rFonts w:hint="eastAsia" w:ascii="宋体" w:hAnsi="宋体"/>
        </w:rPr>
        <w:t>在合同设备的制造过程中，招标人及监理工程师保留设备监造的权利。</w:t>
      </w:r>
      <w:r>
        <w:rPr>
          <w:rFonts w:hint="eastAsia" w:ascii="宋体" w:hAnsi="宋体"/>
          <w:lang w:eastAsia="zh-CN"/>
        </w:rPr>
        <w:t>供应商</w:t>
      </w:r>
      <w:r>
        <w:rPr>
          <w:rFonts w:hint="eastAsia" w:ascii="宋体" w:hAnsi="宋体"/>
        </w:rPr>
        <w:t>应根据合同设备的生产计划通知招标人及监理工程师（如需）到生产厂进行监造。</w:t>
      </w:r>
    </w:p>
    <w:p w14:paraId="2783DF8B">
      <w:pPr>
        <w:spacing w:line="360" w:lineRule="auto"/>
        <w:ind w:firstLine="560"/>
        <w:rPr>
          <w:rFonts w:hint="eastAsia" w:ascii="宋体" w:hAnsi="宋体"/>
        </w:rPr>
      </w:pPr>
      <w:r>
        <w:rPr>
          <w:rFonts w:hint="eastAsia" w:ascii="宋体" w:hAnsi="宋体"/>
        </w:rPr>
        <w:t>5.工厂测试及出厂验收</w:t>
      </w:r>
    </w:p>
    <w:p w14:paraId="0923A640">
      <w:pPr>
        <w:spacing w:line="360" w:lineRule="auto"/>
        <w:ind w:firstLine="560"/>
        <w:rPr>
          <w:rFonts w:hint="eastAsia" w:ascii="宋体" w:hAnsi="宋体"/>
        </w:rPr>
      </w:pPr>
      <w:r>
        <w:rPr>
          <w:rFonts w:hint="eastAsia" w:ascii="宋体" w:hAnsi="宋体"/>
        </w:rPr>
        <w:t>（1）提交工厂测试、出厂验收计划。</w:t>
      </w:r>
    </w:p>
    <w:p w14:paraId="37AD950E">
      <w:pPr>
        <w:spacing w:line="360" w:lineRule="auto"/>
        <w:ind w:firstLine="560"/>
        <w:rPr>
          <w:rFonts w:hint="eastAsia" w:ascii="宋体" w:hAnsi="宋体"/>
        </w:rPr>
      </w:pPr>
      <w:r>
        <w:rPr>
          <w:rFonts w:hint="eastAsia" w:ascii="宋体" w:hAnsi="宋体"/>
        </w:rPr>
        <w:t>（2）提交工厂测试、出厂验收大纲。</w:t>
      </w:r>
    </w:p>
    <w:p w14:paraId="193C0F95">
      <w:pPr>
        <w:spacing w:line="360" w:lineRule="auto"/>
        <w:ind w:firstLine="560"/>
        <w:rPr>
          <w:rFonts w:hint="eastAsia" w:ascii="宋体" w:hAnsi="宋体"/>
        </w:rPr>
      </w:pPr>
      <w:r>
        <w:rPr>
          <w:rFonts w:hint="eastAsia" w:ascii="宋体" w:hAnsi="宋体"/>
        </w:rPr>
        <w:t>（3）负责进行工厂测试、出厂验收试验。</w:t>
      </w:r>
    </w:p>
    <w:p w14:paraId="302E8446">
      <w:pPr>
        <w:spacing w:line="360" w:lineRule="auto"/>
        <w:ind w:firstLine="560"/>
        <w:rPr>
          <w:rFonts w:hint="eastAsia" w:ascii="宋体" w:hAnsi="宋体"/>
        </w:rPr>
      </w:pPr>
      <w:r>
        <w:rPr>
          <w:rFonts w:hint="eastAsia" w:ascii="宋体" w:hAnsi="宋体"/>
        </w:rPr>
        <w:t>（4）提交上述有关测试及验收报告。</w:t>
      </w:r>
    </w:p>
    <w:p w14:paraId="03952D4D">
      <w:pPr>
        <w:spacing w:line="360" w:lineRule="auto"/>
        <w:ind w:firstLine="560"/>
        <w:rPr>
          <w:rFonts w:hint="eastAsia" w:ascii="宋体" w:hAnsi="宋体"/>
        </w:rPr>
      </w:pPr>
      <w:r>
        <w:rPr>
          <w:rFonts w:hint="eastAsia" w:ascii="宋体" w:hAnsi="宋体"/>
        </w:rPr>
        <w:t>（5）招标人按10人·周到设备原产地进行出厂验收，试验、验收所需的所有设施、专用器材及书面资料均由</w:t>
      </w:r>
      <w:r>
        <w:rPr>
          <w:rFonts w:hint="eastAsia" w:ascii="宋体" w:hAnsi="宋体"/>
          <w:lang w:eastAsia="zh-CN"/>
        </w:rPr>
        <w:t>供应商</w:t>
      </w:r>
      <w:r>
        <w:rPr>
          <w:rFonts w:hint="eastAsia" w:ascii="宋体" w:hAnsi="宋体"/>
        </w:rPr>
        <w:t>提供。</w:t>
      </w:r>
    </w:p>
    <w:p w14:paraId="0CF79B79">
      <w:pPr>
        <w:spacing w:line="360" w:lineRule="auto"/>
        <w:ind w:firstLine="560"/>
        <w:rPr>
          <w:rFonts w:hint="eastAsia" w:ascii="宋体" w:hAnsi="宋体"/>
        </w:rPr>
      </w:pPr>
      <w:bookmarkStart w:id="87" w:name="_Toc75168099"/>
      <w:r>
        <w:rPr>
          <w:rFonts w:hint="eastAsia" w:ascii="宋体" w:hAnsi="宋体"/>
        </w:rPr>
        <w:t>（6）出厂验收费用由</w:t>
      </w:r>
      <w:r>
        <w:rPr>
          <w:rFonts w:hint="eastAsia" w:ascii="宋体" w:hAnsi="宋体"/>
          <w:lang w:eastAsia="zh-CN"/>
        </w:rPr>
        <w:t>供应商</w:t>
      </w:r>
      <w:r>
        <w:rPr>
          <w:rFonts w:hint="eastAsia" w:ascii="宋体" w:hAnsi="宋体"/>
        </w:rPr>
        <w:t>负责，计入投标总价。其中招标人人员费用包括但不限于往返交通费、食宿费、当地交通费、资料费、保险费等。</w:t>
      </w:r>
      <w:bookmarkEnd w:id="87"/>
      <w:r>
        <w:rPr>
          <w:rFonts w:hint="eastAsia" w:ascii="宋体" w:hAnsi="宋体"/>
        </w:rPr>
        <w:t>如果是进口设备，费用按国家相关标准规定执行。</w:t>
      </w:r>
    </w:p>
    <w:p w14:paraId="121422CA">
      <w:pPr>
        <w:spacing w:line="360" w:lineRule="auto"/>
        <w:ind w:firstLine="560"/>
        <w:rPr>
          <w:rFonts w:hint="eastAsia" w:ascii="宋体" w:hAnsi="宋体"/>
        </w:rPr>
      </w:pPr>
      <w:r>
        <w:rPr>
          <w:rFonts w:hint="eastAsia" w:ascii="宋体" w:hAnsi="宋体"/>
        </w:rPr>
        <w:t>（7）招标人有权根据实际工程进度变更部分验收计划及验收时间。发货时间顺延。</w:t>
      </w:r>
    </w:p>
    <w:p w14:paraId="29874AD8">
      <w:pPr>
        <w:spacing w:line="360" w:lineRule="auto"/>
        <w:ind w:firstLine="560"/>
        <w:rPr>
          <w:rFonts w:hint="eastAsia" w:ascii="宋体" w:hAnsi="宋体"/>
        </w:rPr>
      </w:pPr>
      <w:r>
        <w:rPr>
          <w:rFonts w:hint="eastAsia" w:ascii="宋体" w:hAnsi="宋体"/>
        </w:rPr>
        <w:t>6.包装、运输和仓储</w:t>
      </w:r>
    </w:p>
    <w:p w14:paraId="464F016E">
      <w:pPr>
        <w:spacing w:line="360" w:lineRule="auto"/>
        <w:ind w:firstLine="560"/>
        <w:rPr>
          <w:rFonts w:hint="eastAsia" w:ascii="宋体" w:hAnsi="宋体"/>
        </w:rPr>
      </w:pPr>
      <w:r>
        <w:rPr>
          <w:rFonts w:hint="eastAsia" w:ascii="宋体" w:hAnsi="宋体"/>
        </w:rPr>
        <w:t>（1）提交关于设备材料包装、运输和仓储要求的文件。</w:t>
      </w:r>
      <w:r>
        <w:rPr>
          <w:rFonts w:hint="eastAsia" w:ascii="宋体" w:hAnsi="宋体"/>
          <w:lang w:eastAsia="zh-CN"/>
        </w:rPr>
        <w:t>供应商</w:t>
      </w:r>
      <w:r>
        <w:rPr>
          <w:rFonts w:hint="eastAsia" w:ascii="宋体" w:hAnsi="宋体"/>
        </w:rPr>
        <w:t>应对产品的包装、储存和标志过程进行控制，使之达到不拆箱可以保存1年的要求（包括所使用的材料）。</w:t>
      </w:r>
    </w:p>
    <w:p w14:paraId="5FF6C54E">
      <w:pPr>
        <w:spacing w:line="360" w:lineRule="auto"/>
        <w:ind w:firstLine="560"/>
        <w:rPr>
          <w:rFonts w:hint="eastAsia" w:ascii="宋体" w:hAnsi="宋体"/>
        </w:rPr>
      </w:pPr>
      <w:r>
        <w:rPr>
          <w:rFonts w:hint="eastAsia" w:ascii="宋体" w:hAnsi="宋体"/>
        </w:rPr>
        <w:t>（2）负责设备的包装、运输和二次吊运。</w:t>
      </w:r>
      <w:r>
        <w:rPr>
          <w:rFonts w:hint="eastAsia" w:ascii="宋体" w:hAnsi="宋体"/>
          <w:lang w:eastAsia="zh-CN"/>
        </w:rPr>
        <w:t>供应商</w:t>
      </w:r>
      <w:r>
        <w:rPr>
          <w:rFonts w:hint="eastAsia" w:ascii="宋体" w:hAnsi="宋体"/>
        </w:rPr>
        <w:t>提供的所有设备和材料应具备适应内陆运输和多次搬运、装卸的坚固包装，并应根据货物特点及需要，采取防潮、防雨、防锈、防腐蚀、防震动等保护措施，以保证货物安全无损运抵招标人指定地点，地面落地。</w:t>
      </w:r>
    </w:p>
    <w:p w14:paraId="18FC3434">
      <w:pPr>
        <w:spacing w:line="360" w:lineRule="auto"/>
        <w:ind w:firstLine="560"/>
        <w:rPr>
          <w:rFonts w:hint="eastAsia" w:ascii="宋体" w:hAnsi="宋体"/>
        </w:rPr>
      </w:pPr>
      <w:r>
        <w:rPr>
          <w:rFonts w:hint="eastAsia" w:ascii="宋体" w:hAnsi="宋体"/>
        </w:rPr>
        <w:t>（3）对于分批次装运的设备，每批次在装运日期之前15天内以书面形式将合同号、货物名称、装箱单、数量、箱数、总毛重、总体积(立方米或用m3表示)、每箱尺寸(长×宽×高)，单价、总金额和备妥待运的日期通知招标人确认。未经招标人同意，不得发货。</w:t>
      </w:r>
    </w:p>
    <w:p w14:paraId="1E6B73D4">
      <w:pPr>
        <w:spacing w:line="360" w:lineRule="auto"/>
        <w:ind w:firstLine="560"/>
        <w:rPr>
          <w:rFonts w:hint="eastAsia" w:ascii="宋体" w:hAnsi="宋体"/>
        </w:rPr>
      </w:pPr>
      <w:r>
        <w:rPr>
          <w:rFonts w:hint="eastAsia" w:ascii="宋体" w:hAnsi="宋体"/>
        </w:rPr>
        <w:t>（4）随箱文件</w:t>
      </w:r>
    </w:p>
    <w:p w14:paraId="1B4743B1">
      <w:pPr>
        <w:numPr>
          <w:ilvl w:val="0"/>
          <w:numId w:val="23"/>
        </w:numPr>
        <w:spacing w:line="360" w:lineRule="auto"/>
        <w:ind w:left="0" w:firstLine="658"/>
        <w:rPr>
          <w:rFonts w:hint="eastAsia" w:ascii="宋体" w:hAnsi="宋体"/>
        </w:rPr>
      </w:pPr>
      <w:r>
        <w:rPr>
          <w:rFonts w:hint="eastAsia" w:ascii="宋体" w:hAnsi="宋体"/>
        </w:rPr>
        <w:t>每个包装箱的外部应附有一套装箱单，应密封在防水包装袋中，并牢固地固定在包装箱外。每个包装箱的内部同样应附有一套装箱单。</w:t>
      </w:r>
    </w:p>
    <w:p w14:paraId="17FC8F35">
      <w:pPr>
        <w:numPr>
          <w:ilvl w:val="0"/>
          <w:numId w:val="23"/>
        </w:numPr>
        <w:spacing w:line="360" w:lineRule="auto"/>
        <w:ind w:left="0" w:firstLine="658"/>
        <w:rPr>
          <w:rFonts w:hint="eastAsia" w:ascii="宋体" w:hAnsi="宋体"/>
        </w:rPr>
      </w:pPr>
      <w:r>
        <w:rPr>
          <w:rFonts w:hint="eastAsia" w:ascii="宋体" w:hAnsi="宋体"/>
        </w:rPr>
        <w:t>合同中规定的设备资料，如说明书、产品合格证等不随箱装运，另外成册订装在设备发货时提交招标人。</w:t>
      </w:r>
    </w:p>
    <w:p w14:paraId="4F0E96AE">
      <w:pPr>
        <w:spacing w:line="360" w:lineRule="auto"/>
        <w:ind w:firstLine="560"/>
        <w:rPr>
          <w:rFonts w:hint="eastAsia" w:ascii="宋体" w:hAnsi="宋体"/>
        </w:rPr>
      </w:pPr>
      <w:r>
        <w:rPr>
          <w:rFonts w:hint="eastAsia" w:ascii="宋体" w:hAnsi="宋体"/>
        </w:rPr>
        <w:t>（5）负责设备仓储及保管。</w:t>
      </w:r>
    </w:p>
    <w:p w14:paraId="7DB7746A">
      <w:pPr>
        <w:spacing w:line="360" w:lineRule="auto"/>
        <w:ind w:firstLine="560"/>
        <w:rPr>
          <w:rFonts w:hint="eastAsia" w:ascii="宋体" w:hAnsi="宋体"/>
        </w:rPr>
      </w:pPr>
      <w:r>
        <w:rPr>
          <w:rFonts w:hint="eastAsia" w:ascii="宋体" w:hAnsi="宋体"/>
        </w:rPr>
        <w:t>（6）如果是进口设备，</w:t>
      </w:r>
      <w:r>
        <w:rPr>
          <w:rFonts w:hint="eastAsia" w:ascii="宋体" w:hAnsi="宋体"/>
          <w:lang w:eastAsia="zh-CN"/>
        </w:rPr>
        <w:t>供应商</w:t>
      </w:r>
      <w:r>
        <w:rPr>
          <w:rFonts w:hint="eastAsia" w:ascii="宋体" w:hAnsi="宋体"/>
        </w:rPr>
        <w:t>负责报关、关税等手续，费用含在投标总价中。</w:t>
      </w:r>
    </w:p>
    <w:p w14:paraId="01F9F33C">
      <w:pPr>
        <w:spacing w:line="360" w:lineRule="auto"/>
        <w:ind w:firstLine="560"/>
        <w:rPr>
          <w:rFonts w:hint="eastAsia" w:ascii="宋体" w:hAnsi="宋体"/>
        </w:rPr>
      </w:pPr>
      <w:r>
        <w:rPr>
          <w:rFonts w:hint="eastAsia" w:ascii="宋体" w:hAnsi="宋体"/>
        </w:rPr>
        <w:t>7.培训</w:t>
      </w:r>
    </w:p>
    <w:p w14:paraId="6CF4E77C">
      <w:pPr>
        <w:spacing w:line="360" w:lineRule="auto"/>
        <w:ind w:firstLine="560"/>
        <w:rPr>
          <w:rFonts w:hint="eastAsia" w:ascii="宋体" w:hAnsi="宋体"/>
        </w:rPr>
      </w:pPr>
      <w:r>
        <w:rPr>
          <w:rFonts w:hint="eastAsia" w:ascii="宋体" w:hAnsi="宋体"/>
        </w:rPr>
        <w:t>（1）编制培训教材。</w:t>
      </w:r>
    </w:p>
    <w:p w14:paraId="0A618414">
      <w:pPr>
        <w:spacing w:line="360" w:lineRule="auto"/>
        <w:ind w:firstLine="560"/>
        <w:rPr>
          <w:rFonts w:hint="eastAsia" w:ascii="宋体" w:hAnsi="宋体"/>
        </w:rPr>
      </w:pPr>
      <w:r>
        <w:rPr>
          <w:rFonts w:hint="eastAsia" w:ascii="宋体" w:hAnsi="宋体"/>
        </w:rPr>
        <w:t>（2）负责对招标人人员进行本项目设备的软、硬件的工厂培训和现场培训，并提供培训地点、培训设施及培训材料等。</w:t>
      </w:r>
    </w:p>
    <w:p w14:paraId="5A149967">
      <w:pPr>
        <w:spacing w:line="360" w:lineRule="auto"/>
        <w:ind w:firstLine="560"/>
        <w:rPr>
          <w:rFonts w:hint="eastAsia" w:ascii="宋体" w:hAnsi="宋体"/>
        </w:rPr>
      </w:pPr>
      <w:r>
        <w:rPr>
          <w:rFonts w:hint="eastAsia" w:ascii="宋体" w:hAnsi="宋体"/>
        </w:rPr>
        <w:t>（3）按计划实施培训。</w:t>
      </w:r>
    </w:p>
    <w:p w14:paraId="634DEFB7">
      <w:pPr>
        <w:spacing w:line="360" w:lineRule="auto"/>
        <w:ind w:firstLine="560"/>
        <w:rPr>
          <w:rFonts w:hint="eastAsia" w:ascii="宋体" w:hAnsi="宋体"/>
        </w:rPr>
      </w:pPr>
      <w:r>
        <w:rPr>
          <w:rFonts w:hint="eastAsia" w:ascii="宋体" w:hAnsi="宋体"/>
        </w:rPr>
        <w:t>（4）组织培训考核。</w:t>
      </w:r>
    </w:p>
    <w:p w14:paraId="3FF21D84">
      <w:pPr>
        <w:spacing w:line="360" w:lineRule="auto"/>
        <w:ind w:firstLine="560"/>
        <w:rPr>
          <w:rFonts w:hint="eastAsia" w:ascii="宋体" w:hAnsi="宋体"/>
        </w:rPr>
      </w:pPr>
      <w:r>
        <w:rPr>
          <w:rFonts w:hint="eastAsia" w:ascii="宋体" w:hAnsi="宋体"/>
        </w:rPr>
        <w:t>8.施工安装</w:t>
      </w:r>
    </w:p>
    <w:p w14:paraId="46632938">
      <w:pPr>
        <w:spacing w:line="360" w:lineRule="auto"/>
        <w:ind w:firstLine="560"/>
        <w:rPr>
          <w:rFonts w:hint="eastAsia" w:ascii="宋体" w:hAnsi="宋体"/>
        </w:rPr>
      </w:pPr>
      <w:r>
        <w:rPr>
          <w:rFonts w:hint="eastAsia" w:ascii="宋体" w:hAnsi="宋体"/>
        </w:rPr>
        <w:t>（1）负责产品工艺设计、施工组织设计、安装施工及工作现场的管理。</w:t>
      </w:r>
    </w:p>
    <w:p w14:paraId="65312222">
      <w:pPr>
        <w:spacing w:line="360" w:lineRule="auto"/>
        <w:ind w:firstLine="560"/>
        <w:rPr>
          <w:rFonts w:hint="eastAsia" w:ascii="宋体" w:hAnsi="宋体"/>
        </w:rPr>
      </w:pPr>
      <w:r>
        <w:rPr>
          <w:rFonts w:hint="eastAsia" w:ascii="宋体" w:hAnsi="宋体"/>
        </w:rPr>
        <w:t>（2）要按招标人要求提供设备入场安装。</w:t>
      </w:r>
    </w:p>
    <w:p w14:paraId="28F7558F">
      <w:pPr>
        <w:spacing w:line="360" w:lineRule="auto"/>
        <w:ind w:firstLine="560"/>
        <w:rPr>
          <w:rFonts w:hint="eastAsia" w:ascii="宋体" w:hAnsi="宋体"/>
        </w:rPr>
      </w:pPr>
      <w:r>
        <w:rPr>
          <w:rFonts w:hint="eastAsia" w:ascii="宋体" w:hAnsi="宋体"/>
        </w:rPr>
        <w:t>（3）在进入车辆基地场区时，</w:t>
      </w:r>
      <w:r>
        <w:rPr>
          <w:rFonts w:hint="eastAsia" w:ascii="宋体" w:hAnsi="宋体"/>
          <w:lang w:eastAsia="zh-CN"/>
        </w:rPr>
        <w:t>供应商</w:t>
      </w:r>
      <w:r>
        <w:rPr>
          <w:rFonts w:hint="eastAsia" w:ascii="宋体" w:hAnsi="宋体"/>
        </w:rPr>
        <w:t>应服从车辆基地地盘商管理，并加强沟通及协调。</w:t>
      </w:r>
    </w:p>
    <w:p w14:paraId="339A154F">
      <w:pPr>
        <w:spacing w:line="360" w:lineRule="auto"/>
        <w:ind w:firstLine="560"/>
        <w:rPr>
          <w:rFonts w:hint="eastAsia" w:ascii="宋体" w:hAnsi="宋体"/>
        </w:rPr>
      </w:pPr>
      <w:r>
        <w:rPr>
          <w:rFonts w:hint="eastAsia" w:ascii="宋体" w:hAnsi="宋体"/>
        </w:rPr>
        <w:t>9.设备调试</w:t>
      </w:r>
    </w:p>
    <w:p w14:paraId="393040AE">
      <w:pPr>
        <w:spacing w:line="360" w:lineRule="auto"/>
        <w:ind w:firstLine="560"/>
        <w:rPr>
          <w:rFonts w:hint="eastAsia" w:ascii="宋体" w:hAnsi="宋体"/>
        </w:rPr>
      </w:pPr>
      <w:r>
        <w:rPr>
          <w:rFonts w:hint="eastAsia" w:ascii="宋体" w:hAnsi="宋体"/>
        </w:rPr>
        <w:t>（1）编制调试大纲。</w:t>
      </w:r>
    </w:p>
    <w:p w14:paraId="0B2E29E8">
      <w:pPr>
        <w:spacing w:line="360" w:lineRule="auto"/>
        <w:ind w:firstLine="560"/>
        <w:rPr>
          <w:rFonts w:hint="eastAsia" w:ascii="宋体" w:hAnsi="宋体"/>
        </w:rPr>
      </w:pPr>
      <w:r>
        <w:rPr>
          <w:rFonts w:hint="eastAsia" w:ascii="宋体" w:hAnsi="宋体"/>
        </w:rPr>
        <w:t>（2）进行调试示范。</w:t>
      </w:r>
    </w:p>
    <w:p w14:paraId="050A62D5">
      <w:pPr>
        <w:spacing w:line="360" w:lineRule="auto"/>
        <w:ind w:firstLine="560"/>
        <w:rPr>
          <w:rFonts w:hint="eastAsia" w:ascii="宋体" w:hAnsi="宋体"/>
        </w:rPr>
      </w:pPr>
      <w:r>
        <w:rPr>
          <w:rFonts w:hint="eastAsia" w:ascii="宋体" w:hAnsi="宋体"/>
        </w:rPr>
        <w:t>（3）配合处理设备调试过程中出现的接口问题。</w:t>
      </w:r>
    </w:p>
    <w:p w14:paraId="7A7E25AB">
      <w:pPr>
        <w:spacing w:line="360" w:lineRule="auto"/>
        <w:ind w:firstLine="560"/>
        <w:rPr>
          <w:rFonts w:hint="eastAsia" w:ascii="宋体" w:hAnsi="宋体"/>
        </w:rPr>
      </w:pPr>
      <w:r>
        <w:rPr>
          <w:rFonts w:hint="eastAsia" w:ascii="宋体" w:hAnsi="宋体"/>
        </w:rPr>
        <w:t>10.设备质量检查</w:t>
      </w:r>
      <w:r>
        <w:rPr>
          <w:rFonts w:hint="eastAsia" w:ascii="宋体" w:hAnsi="宋体"/>
          <w:szCs w:val="21"/>
        </w:rPr>
        <w:t>与质量核查</w:t>
      </w:r>
    </w:p>
    <w:p w14:paraId="54781C56">
      <w:pPr>
        <w:spacing w:line="360" w:lineRule="auto"/>
        <w:ind w:firstLine="560"/>
        <w:rPr>
          <w:rFonts w:hint="eastAsia" w:ascii="宋体" w:hAnsi="宋体"/>
        </w:rPr>
      </w:pPr>
      <w:r>
        <w:rPr>
          <w:rFonts w:hint="eastAsia" w:ascii="宋体" w:hAnsi="宋体"/>
        </w:rPr>
        <w:t>（1）配合设备质量检查，提供相应的技术支持。</w:t>
      </w:r>
    </w:p>
    <w:p w14:paraId="1EE3FBF7">
      <w:pPr>
        <w:spacing w:line="360" w:lineRule="auto"/>
        <w:ind w:firstLine="560"/>
        <w:rPr>
          <w:rFonts w:hint="eastAsia" w:ascii="宋体" w:hAnsi="宋体"/>
        </w:rPr>
      </w:pPr>
      <w:r>
        <w:rPr>
          <w:rFonts w:hint="eastAsia" w:ascii="宋体" w:hAnsi="宋体"/>
        </w:rPr>
        <w:t>（2）解决设备质量检查过程中自身设备出现的技术问题，协助解决设备质量检查过程中出现的其他技术问题。</w:t>
      </w:r>
    </w:p>
    <w:p w14:paraId="2B45FBB6">
      <w:pPr>
        <w:spacing w:line="360" w:lineRule="auto"/>
        <w:ind w:firstLine="630" w:firstLineChars="300"/>
        <w:rPr>
          <w:rFonts w:hint="eastAsia" w:ascii="宋体" w:hAnsi="宋体"/>
          <w:szCs w:val="21"/>
        </w:rPr>
      </w:pPr>
      <w:r>
        <w:rPr>
          <w:rFonts w:hint="eastAsia" w:ascii="宋体" w:hAnsi="宋体"/>
          <w:szCs w:val="21"/>
        </w:rPr>
        <w:t>（3）卖方必须参加买方组织的各项质量核查活动。卖方必须接受买方的督促和管理，对质量核查中出现的设备问题，按要求提出整改方案和计划并实施。</w:t>
      </w:r>
    </w:p>
    <w:p w14:paraId="36D64BCF">
      <w:pPr>
        <w:spacing w:line="360" w:lineRule="auto"/>
        <w:ind w:firstLine="560"/>
        <w:rPr>
          <w:rFonts w:hint="eastAsia" w:ascii="宋体" w:hAnsi="宋体"/>
        </w:rPr>
      </w:pPr>
      <w:r>
        <w:rPr>
          <w:rFonts w:hint="eastAsia" w:ascii="宋体" w:hAnsi="宋体"/>
        </w:rPr>
        <w:t>11.预验收</w:t>
      </w:r>
    </w:p>
    <w:p w14:paraId="5627241B">
      <w:pPr>
        <w:spacing w:line="360" w:lineRule="auto"/>
        <w:ind w:firstLine="560"/>
        <w:rPr>
          <w:rFonts w:hint="eastAsia" w:ascii="宋体" w:hAnsi="宋体"/>
        </w:rPr>
      </w:pPr>
      <w:r>
        <w:rPr>
          <w:rFonts w:hint="eastAsia" w:ascii="宋体" w:hAnsi="宋体"/>
        </w:rPr>
        <w:t>设备质量检查合格后，配合招标人参加预验收工作。</w:t>
      </w:r>
    </w:p>
    <w:p w14:paraId="36A10CD5">
      <w:pPr>
        <w:spacing w:line="360" w:lineRule="auto"/>
        <w:ind w:firstLine="560"/>
        <w:rPr>
          <w:rFonts w:hint="eastAsia" w:ascii="宋体" w:hAnsi="宋体"/>
        </w:rPr>
      </w:pPr>
      <w:r>
        <w:rPr>
          <w:rFonts w:hint="eastAsia" w:ascii="宋体" w:hAnsi="宋体"/>
        </w:rPr>
        <w:t>12.设备耐久性、稳定性检验</w:t>
      </w:r>
    </w:p>
    <w:p w14:paraId="5B7605DE">
      <w:pPr>
        <w:spacing w:line="360" w:lineRule="auto"/>
        <w:ind w:firstLine="560"/>
        <w:rPr>
          <w:rFonts w:hint="eastAsia" w:ascii="宋体" w:hAnsi="宋体"/>
        </w:rPr>
      </w:pPr>
      <w:r>
        <w:rPr>
          <w:rFonts w:hint="eastAsia" w:ascii="宋体" w:hAnsi="宋体"/>
        </w:rPr>
        <w:t>（1）配合耐久性、稳定性检验，提供相应的技术支持。</w:t>
      </w:r>
    </w:p>
    <w:p w14:paraId="59CC0238">
      <w:pPr>
        <w:spacing w:line="360" w:lineRule="auto"/>
        <w:ind w:firstLine="560"/>
        <w:rPr>
          <w:rFonts w:hint="eastAsia" w:ascii="宋体" w:hAnsi="宋体"/>
        </w:rPr>
      </w:pPr>
      <w:r>
        <w:rPr>
          <w:rFonts w:hint="eastAsia" w:ascii="宋体" w:hAnsi="宋体"/>
        </w:rPr>
        <w:t>（2）解决耐久性、稳定性检验过程中自身设备出现的技术问题，协助解决设备耐久性、稳定性检验过程中出现的其他技术问题。</w:t>
      </w:r>
    </w:p>
    <w:p w14:paraId="027DFFC1">
      <w:pPr>
        <w:spacing w:line="360" w:lineRule="auto"/>
        <w:ind w:firstLine="560"/>
        <w:rPr>
          <w:rFonts w:hint="eastAsia" w:ascii="宋体" w:hAnsi="宋体"/>
        </w:rPr>
      </w:pPr>
      <w:r>
        <w:rPr>
          <w:rFonts w:hint="eastAsia" w:ascii="宋体" w:hAnsi="宋体"/>
        </w:rPr>
        <w:t>13.竣工验收</w:t>
      </w:r>
    </w:p>
    <w:p w14:paraId="36C947AF">
      <w:pPr>
        <w:spacing w:line="360" w:lineRule="auto"/>
        <w:ind w:firstLine="560"/>
        <w:rPr>
          <w:rFonts w:hint="eastAsia" w:ascii="宋体" w:hAnsi="宋体"/>
        </w:rPr>
      </w:pPr>
      <w:r>
        <w:rPr>
          <w:rFonts w:hint="eastAsia" w:ascii="宋体" w:hAnsi="宋体"/>
        </w:rPr>
        <w:t>（1）配合工程验收，提供相应的技术支持。</w:t>
      </w:r>
    </w:p>
    <w:p w14:paraId="62CFE3BC">
      <w:pPr>
        <w:spacing w:line="360" w:lineRule="auto"/>
        <w:ind w:firstLine="560"/>
        <w:rPr>
          <w:rFonts w:hint="eastAsia" w:ascii="宋体" w:hAnsi="宋体"/>
        </w:rPr>
      </w:pPr>
      <w:r>
        <w:rPr>
          <w:rFonts w:hint="eastAsia" w:ascii="宋体" w:hAnsi="宋体"/>
        </w:rPr>
        <w:t>（2）负责提供本项目项下设备的竣工资料，包括所有竣工图纸、清单等。</w:t>
      </w:r>
    </w:p>
    <w:p w14:paraId="5C608800">
      <w:pPr>
        <w:spacing w:line="360" w:lineRule="auto"/>
        <w:ind w:firstLine="560"/>
        <w:rPr>
          <w:rFonts w:hint="eastAsia" w:ascii="宋体" w:hAnsi="宋体"/>
        </w:rPr>
      </w:pPr>
      <w:r>
        <w:rPr>
          <w:rFonts w:hint="eastAsia" w:ascii="宋体" w:hAnsi="宋体"/>
        </w:rPr>
        <w:t>（3）配合其他</w:t>
      </w:r>
      <w:r>
        <w:rPr>
          <w:rFonts w:hint="eastAsia" w:ascii="宋体" w:hAnsi="宋体"/>
          <w:lang w:eastAsia="zh-CN"/>
        </w:rPr>
        <w:t>供应商</w:t>
      </w:r>
      <w:r>
        <w:rPr>
          <w:rFonts w:hint="eastAsia" w:ascii="宋体" w:hAnsi="宋体"/>
        </w:rPr>
        <w:t>完成相关竣工文件和工程结算。</w:t>
      </w:r>
    </w:p>
    <w:p w14:paraId="7E4E46A2">
      <w:pPr>
        <w:spacing w:line="360" w:lineRule="auto"/>
        <w:ind w:firstLine="560"/>
        <w:rPr>
          <w:rFonts w:hint="eastAsia" w:ascii="宋体" w:hAnsi="宋体"/>
        </w:rPr>
      </w:pPr>
      <w:r>
        <w:rPr>
          <w:rFonts w:hint="eastAsia" w:ascii="宋体" w:hAnsi="宋体"/>
        </w:rPr>
        <w:t>（4）协助完成工程结算。</w:t>
      </w:r>
    </w:p>
    <w:p w14:paraId="1BF89E81">
      <w:pPr>
        <w:spacing w:line="360" w:lineRule="auto"/>
        <w:ind w:firstLine="560"/>
        <w:rPr>
          <w:rFonts w:hint="eastAsia" w:ascii="宋体" w:hAnsi="宋体"/>
        </w:rPr>
      </w:pPr>
      <w:r>
        <w:rPr>
          <w:rFonts w:hint="eastAsia" w:ascii="宋体" w:hAnsi="宋体"/>
        </w:rPr>
        <w:t>14.质量保证期</w:t>
      </w:r>
    </w:p>
    <w:p w14:paraId="2BE572D6">
      <w:pPr>
        <w:spacing w:line="360" w:lineRule="auto"/>
        <w:ind w:firstLine="560"/>
        <w:rPr>
          <w:rFonts w:hint="eastAsia" w:ascii="宋体" w:hAnsi="宋体"/>
        </w:rPr>
      </w:pPr>
      <w:r>
        <w:rPr>
          <w:rFonts w:hint="eastAsia" w:ascii="宋体" w:hAnsi="宋体"/>
        </w:rPr>
        <w:t>（1）负责设备的质量保证工作。</w:t>
      </w:r>
    </w:p>
    <w:p w14:paraId="1C734985">
      <w:pPr>
        <w:spacing w:line="360" w:lineRule="auto"/>
        <w:ind w:firstLine="560"/>
        <w:rPr>
          <w:rFonts w:hint="eastAsia" w:ascii="宋体" w:hAnsi="宋体"/>
        </w:rPr>
      </w:pPr>
      <w:r>
        <w:rPr>
          <w:rFonts w:hint="eastAsia" w:ascii="宋体" w:hAnsi="宋体"/>
        </w:rPr>
        <w:t>（2）从竣工验收之日起，进入质量保证期，保证期为24个月。</w:t>
      </w:r>
    </w:p>
    <w:p w14:paraId="0DD83BA0">
      <w:pPr>
        <w:spacing w:line="360" w:lineRule="auto"/>
        <w:ind w:firstLine="560"/>
        <w:rPr>
          <w:rFonts w:hint="eastAsia" w:ascii="宋体" w:hAnsi="宋体"/>
          <w:bCs/>
        </w:rPr>
      </w:pPr>
      <w:r>
        <w:rPr>
          <w:rFonts w:hint="eastAsia" w:ascii="宋体" w:hAnsi="宋体"/>
        </w:rPr>
        <w:t>（3）</w:t>
      </w:r>
      <w:r>
        <w:rPr>
          <w:rFonts w:hint="eastAsia" w:ascii="宋体" w:hAnsi="宋体"/>
          <w:bCs/>
        </w:rPr>
        <w:t>乙方配置项目负责人一名（非现场常驻人员），负责协调5年技术支持服务期内售后服务和厂内资源调配等业务沟通、协调。</w:t>
      </w:r>
    </w:p>
    <w:p w14:paraId="3B742777">
      <w:pPr>
        <w:spacing w:line="360" w:lineRule="auto"/>
        <w:ind w:firstLine="560"/>
        <w:rPr>
          <w:rFonts w:hint="eastAsia" w:ascii="宋体" w:hAnsi="宋体"/>
        </w:rPr>
      </w:pPr>
      <w:r>
        <w:rPr>
          <w:rFonts w:hint="eastAsia" w:ascii="宋体" w:hAnsi="宋体"/>
        </w:rPr>
        <w:t>15.最终验收</w:t>
      </w:r>
    </w:p>
    <w:p w14:paraId="721ADEDD">
      <w:pPr>
        <w:spacing w:line="360" w:lineRule="auto"/>
        <w:ind w:firstLine="560"/>
        <w:rPr>
          <w:rFonts w:hint="eastAsia" w:ascii="宋体" w:hAnsi="宋体"/>
        </w:rPr>
      </w:pPr>
      <w:r>
        <w:rPr>
          <w:rFonts w:hint="eastAsia" w:ascii="宋体" w:hAnsi="宋体"/>
        </w:rPr>
        <w:t>参加最终验收。</w:t>
      </w:r>
    </w:p>
    <w:p w14:paraId="0BE4ADF0">
      <w:pPr>
        <w:spacing w:line="360" w:lineRule="auto"/>
        <w:ind w:firstLine="560"/>
        <w:rPr>
          <w:rFonts w:hint="eastAsia" w:ascii="宋体" w:hAnsi="宋体"/>
        </w:rPr>
      </w:pPr>
      <w:r>
        <w:rPr>
          <w:rFonts w:hint="eastAsia" w:ascii="宋体" w:hAnsi="宋体"/>
        </w:rPr>
        <w:t>16.负责本项目备品备件的长期供应和售后服务。</w:t>
      </w:r>
    </w:p>
    <w:p w14:paraId="5EF18828">
      <w:pPr>
        <w:spacing w:line="360" w:lineRule="auto"/>
        <w:ind w:firstLine="560"/>
        <w:rPr>
          <w:rFonts w:hint="eastAsia" w:ascii="宋体" w:hAnsi="宋体"/>
        </w:rPr>
      </w:pPr>
      <w:r>
        <w:rPr>
          <w:rFonts w:hint="eastAsia" w:ascii="宋体" w:hAnsi="宋体"/>
        </w:rPr>
        <w:t>17.负责本工程实施过程中各个阶段的进度计划的落实和质量控制。</w:t>
      </w:r>
    </w:p>
    <w:p w14:paraId="5102F29C">
      <w:pPr>
        <w:widowControl/>
        <w:spacing w:line="360" w:lineRule="auto"/>
        <w:jc w:val="left"/>
        <w:outlineLvl w:val="0"/>
        <w:rPr>
          <w:rFonts w:hint="eastAsia" w:ascii="宋体" w:hAnsi="宋体"/>
          <w:b/>
        </w:rPr>
      </w:pPr>
      <w:bookmarkStart w:id="88" w:name="_Toc3050"/>
      <w:bookmarkStart w:id="89" w:name="_Toc15653"/>
      <w:bookmarkStart w:id="90" w:name="_Toc22901"/>
      <w:bookmarkStart w:id="91" w:name="_Toc26738"/>
      <w:bookmarkStart w:id="92" w:name="_Toc15799"/>
      <w:bookmarkStart w:id="93" w:name="_Toc11273"/>
      <w:bookmarkStart w:id="94" w:name="_Toc5112181"/>
      <w:bookmarkStart w:id="95" w:name="_Toc38273405"/>
      <w:bookmarkStart w:id="96" w:name="_Toc472596450"/>
      <w:r>
        <w:rPr>
          <w:rFonts w:hint="eastAsia" w:ascii="宋体" w:hAnsi="宋体"/>
          <w:b/>
        </w:rPr>
        <w:t>9.伴随技术服务</w:t>
      </w:r>
      <w:bookmarkEnd w:id="88"/>
      <w:bookmarkEnd w:id="89"/>
      <w:bookmarkEnd w:id="90"/>
      <w:bookmarkEnd w:id="91"/>
      <w:bookmarkEnd w:id="92"/>
      <w:bookmarkEnd w:id="93"/>
      <w:bookmarkEnd w:id="94"/>
      <w:bookmarkEnd w:id="95"/>
    </w:p>
    <w:p w14:paraId="79222BA0">
      <w:pPr>
        <w:widowControl/>
        <w:spacing w:line="360" w:lineRule="auto"/>
        <w:ind w:firstLine="360"/>
        <w:jc w:val="left"/>
        <w:outlineLvl w:val="1"/>
        <w:rPr>
          <w:rFonts w:hint="eastAsia" w:ascii="宋体" w:hAnsi="宋体"/>
        </w:rPr>
      </w:pPr>
      <w:bookmarkStart w:id="97" w:name="_Toc38273406"/>
      <w:bookmarkStart w:id="98" w:name="_Toc5174"/>
      <w:bookmarkStart w:id="99" w:name="_Toc5112182"/>
      <w:bookmarkStart w:id="100" w:name="_Toc3163"/>
      <w:bookmarkStart w:id="101" w:name="_Toc22387"/>
      <w:bookmarkStart w:id="102" w:name="_Toc11648"/>
      <w:bookmarkStart w:id="103" w:name="_Toc10308"/>
      <w:bookmarkStart w:id="104" w:name="_Toc32754"/>
      <w:r>
        <w:rPr>
          <w:rFonts w:hint="eastAsia" w:ascii="宋体" w:hAnsi="宋体"/>
        </w:rPr>
        <w:t>9.1设计</w:t>
      </w:r>
      <w:bookmarkEnd w:id="97"/>
      <w:bookmarkEnd w:id="98"/>
      <w:bookmarkEnd w:id="99"/>
      <w:bookmarkEnd w:id="100"/>
      <w:bookmarkEnd w:id="101"/>
      <w:bookmarkEnd w:id="102"/>
      <w:bookmarkEnd w:id="103"/>
      <w:bookmarkEnd w:id="104"/>
    </w:p>
    <w:p w14:paraId="2EF09AFA">
      <w:pPr>
        <w:spacing w:line="360" w:lineRule="auto"/>
        <w:ind w:firstLine="560"/>
        <w:rPr>
          <w:rFonts w:hint="eastAsia" w:ascii="宋体" w:hAnsi="宋体"/>
        </w:rPr>
      </w:pPr>
      <w:r>
        <w:rPr>
          <w:rFonts w:hint="eastAsia" w:ascii="宋体" w:hAnsi="宋体"/>
        </w:rPr>
        <w:t>1.产品设计的基本要求</w:t>
      </w:r>
    </w:p>
    <w:p w14:paraId="5F763A6A">
      <w:pPr>
        <w:spacing w:line="360" w:lineRule="auto"/>
        <w:ind w:firstLine="560"/>
        <w:rPr>
          <w:rFonts w:hint="eastAsia" w:ascii="宋体" w:hAnsi="宋体"/>
        </w:rPr>
      </w:pPr>
      <w:r>
        <w:rPr>
          <w:rFonts w:hint="eastAsia" w:ascii="宋体" w:hAnsi="宋体"/>
        </w:rPr>
        <w:t>设备的设计要全面符合招标文件中所采用的规范及其它有关技术标准和法规的要求。保证设备应符合安全、可靠、经济、适用的要求。</w:t>
      </w:r>
    </w:p>
    <w:p w14:paraId="55ABED4B">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应按时完成设计并交招标人审查。招标人的审查意见将在设计联络上提出。</w:t>
      </w:r>
    </w:p>
    <w:p w14:paraId="3FBB2898">
      <w:pPr>
        <w:spacing w:line="360" w:lineRule="auto"/>
        <w:ind w:firstLine="560"/>
        <w:rPr>
          <w:rFonts w:hint="eastAsia" w:ascii="宋体" w:hAnsi="宋体"/>
        </w:rPr>
      </w:pPr>
      <w:r>
        <w:rPr>
          <w:rFonts w:hint="eastAsia" w:ascii="宋体" w:hAnsi="宋体"/>
        </w:rPr>
        <w:t>2.产品设计的认可</w:t>
      </w:r>
    </w:p>
    <w:p w14:paraId="0A111A9A">
      <w:pPr>
        <w:spacing w:line="360" w:lineRule="auto"/>
        <w:ind w:firstLine="560"/>
        <w:rPr>
          <w:rFonts w:hint="eastAsia" w:ascii="宋体" w:hAnsi="宋体"/>
        </w:rPr>
      </w:pPr>
      <w:r>
        <w:rPr>
          <w:rFonts w:hint="eastAsia" w:ascii="宋体" w:hAnsi="宋体"/>
        </w:rPr>
        <w:t>在合同签订后15日内，</w:t>
      </w:r>
      <w:r>
        <w:rPr>
          <w:rFonts w:hint="eastAsia" w:ascii="宋体" w:hAnsi="宋体"/>
          <w:lang w:eastAsia="zh-CN"/>
        </w:rPr>
        <w:t>供应商</w:t>
      </w:r>
      <w:r>
        <w:rPr>
          <w:rFonts w:hint="eastAsia" w:ascii="宋体" w:hAnsi="宋体"/>
        </w:rPr>
        <w:t>应向招标人提交与土建设计相关的技术文件和图纸。在招标人确认后30日内，</w:t>
      </w:r>
      <w:r>
        <w:rPr>
          <w:rFonts w:hint="eastAsia" w:ascii="宋体" w:hAnsi="宋体"/>
          <w:lang w:eastAsia="zh-CN"/>
        </w:rPr>
        <w:t>供应商</w:t>
      </w:r>
      <w:r>
        <w:rPr>
          <w:rFonts w:hint="eastAsia" w:ascii="宋体" w:hAnsi="宋体"/>
        </w:rPr>
        <w:t>应完成设计工作并提交设计文件。招标人认可后可投入详细设计及制造。</w:t>
      </w:r>
    </w:p>
    <w:p w14:paraId="4D362F15">
      <w:pPr>
        <w:spacing w:line="360" w:lineRule="auto"/>
        <w:ind w:firstLine="560"/>
        <w:rPr>
          <w:rFonts w:hint="eastAsia" w:ascii="宋体" w:hAnsi="宋体"/>
        </w:rPr>
      </w:pPr>
      <w:r>
        <w:rPr>
          <w:rFonts w:hint="eastAsia" w:ascii="宋体" w:hAnsi="宋体"/>
        </w:rPr>
        <w:t>招标人的认可不减轻</w:t>
      </w:r>
      <w:r>
        <w:rPr>
          <w:rFonts w:hint="eastAsia" w:ascii="宋体" w:hAnsi="宋体"/>
          <w:lang w:eastAsia="zh-CN"/>
        </w:rPr>
        <w:t>供应商</w:t>
      </w:r>
      <w:r>
        <w:rPr>
          <w:rFonts w:hint="eastAsia" w:ascii="宋体" w:hAnsi="宋体"/>
        </w:rPr>
        <w:t>对设计和设备及材料质量的最终责任。</w:t>
      </w:r>
    </w:p>
    <w:p w14:paraId="32B907C1">
      <w:pPr>
        <w:spacing w:line="360" w:lineRule="auto"/>
        <w:ind w:firstLine="560"/>
        <w:rPr>
          <w:rFonts w:hint="eastAsia" w:ascii="宋体" w:hAnsi="宋体"/>
        </w:rPr>
      </w:pPr>
      <w:r>
        <w:rPr>
          <w:rFonts w:hint="eastAsia" w:ascii="宋体" w:hAnsi="宋体"/>
        </w:rPr>
        <w:t>3.设计变更</w:t>
      </w:r>
    </w:p>
    <w:p w14:paraId="7F6B49C1">
      <w:pPr>
        <w:spacing w:line="360" w:lineRule="auto"/>
        <w:ind w:firstLine="560"/>
        <w:rPr>
          <w:rFonts w:hint="eastAsia" w:ascii="宋体" w:hAnsi="宋体"/>
        </w:rPr>
      </w:pPr>
      <w:r>
        <w:rPr>
          <w:rFonts w:hint="eastAsia" w:ascii="宋体" w:hAnsi="宋体"/>
        </w:rPr>
        <w:t>凡已做认可的设计，任何一方要作变更都应以书面形式履行变更会签手续。</w:t>
      </w:r>
    </w:p>
    <w:p w14:paraId="51F97EBA">
      <w:pPr>
        <w:spacing w:line="360" w:lineRule="auto"/>
        <w:ind w:firstLine="560"/>
        <w:rPr>
          <w:rFonts w:hint="eastAsia" w:ascii="宋体" w:hAnsi="宋体"/>
        </w:rPr>
      </w:pPr>
      <w:r>
        <w:rPr>
          <w:rFonts w:hint="eastAsia" w:ascii="宋体" w:hAnsi="宋体"/>
        </w:rPr>
        <w:t>4.设计及设计联络（包含</w:t>
      </w:r>
      <w:r>
        <w:rPr>
          <w:rFonts w:hint="eastAsia" w:ascii="宋体" w:hAnsi="宋体"/>
          <w:lang w:eastAsia="zh-CN"/>
        </w:rPr>
        <w:t>供应商</w:t>
      </w:r>
      <w:r>
        <w:rPr>
          <w:rFonts w:hint="eastAsia" w:ascii="宋体" w:hAnsi="宋体"/>
        </w:rPr>
        <w:t>参加其它相关专业的设计联络）的相关费用已包含在本项目的投标总价中。</w:t>
      </w:r>
    </w:p>
    <w:p w14:paraId="6B7F8B19">
      <w:pPr>
        <w:widowControl/>
        <w:spacing w:line="360" w:lineRule="auto"/>
        <w:ind w:firstLine="360"/>
        <w:jc w:val="left"/>
        <w:outlineLvl w:val="1"/>
        <w:rPr>
          <w:rFonts w:hint="eastAsia" w:ascii="宋体" w:hAnsi="宋体"/>
        </w:rPr>
      </w:pPr>
      <w:bookmarkStart w:id="105" w:name="_Toc13601"/>
      <w:bookmarkStart w:id="106" w:name="_Toc38273407"/>
      <w:bookmarkStart w:id="107" w:name="_Toc22204"/>
      <w:bookmarkStart w:id="108" w:name="_Toc5112183"/>
      <w:bookmarkStart w:id="109" w:name="_Toc20154"/>
      <w:bookmarkStart w:id="110" w:name="_Toc25565"/>
      <w:bookmarkStart w:id="111" w:name="_Toc663"/>
      <w:bookmarkStart w:id="112" w:name="_Toc32646"/>
      <w:r>
        <w:rPr>
          <w:rFonts w:hint="eastAsia" w:ascii="宋体" w:hAnsi="宋体"/>
        </w:rPr>
        <w:t>9.2设计联络</w:t>
      </w:r>
      <w:bookmarkEnd w:id="105"/>
      <w:bookmarkEnd w:id="106"/>
      <w:bookmarkEnd w:id="107"/>
      <w:bookmarkEnd w:id="108"/>
      <w:bookmarkEnd w:id="109"/>
      <w:bookmarkEnd w:id="110"/>
      <w:bookmarkEnd w:id="111"/>
      <w:bookmarkEnd w:id="112"/>
    </w:p>
    <w:p w14:paraId="17081CA5">
      <w:pPr>
        <w:spacing w:line="360" w:lineRule="auto"/>
        <w:ind w:firstLine="560"/>
        <w:rPr>
          <w:rFonts w:hint="eastAsia" w:ascii="宋体" w:hAnsi="宋体"/>
        </w:rPr>
      </w:pPr>
      <w:r>
        <w:rPr>
          <w:rFonts w:hint="eastAsia" w:ascii="宋体" w:hAnsi="宋体"/>
        </w:rPr>
        <w:t>1.概述</w:t>
      </w:r>
    </w:p>
    <w:p w14:paraId="2D3FA269">
      <w:pPr>
        <w:spacing w:line="360" w:lineRule="auto"/>
        <w:ind w:firstLine="560"/>
        <w:rPr>
          <w:rFonts w:hint="eastAsia" w:ascii="宋体" w:hAnsi="宋体"/>
        </w:rPr>
      </w:pPr>
      <w:r>
        <w:rPr>
          <w:rFonts w:hint="eastAsia" w:ascii="宋体" w:hAnsi="宋体"/>
        </w:rPr>
        <w:t>合同签订后，要在15天内向招标人提交设计联络进度计划、图纸文件提交计划等，并由招标人确认。</w:t>
      </w:r>
    </w:p>
    <w:p w14:paraId="7D466005">
      <w:pPr>
        <w:spacing w:line="360" w:lineRule="auto"/>
        <w:ind w:firstLine="560"/>
        <w:rPr>
          <w:rFonts w:hint="eastAsia" w:ascii="宋体" w:hAnsi="宋体"/>
        </w:rPr>
      </w:pPr>
      <w:r>
        <w:rPr>
          <w:rFonts w:hint="eastAsia" w:ascii="宋体" w:hAnsi="宋体"/>
        </w:rPr>
        <w:t>设计联络中文件应为中文或中文译稿，如不是中文，</w:t>
      </w:r>
      <w:r>
        <w:rPr>
          <w:rFonts w:hint="eastAsia" w:ascii="宋体" w:hAnsi="宋体"/>
          <w:lang w:eastAsia="zh-CN"/>
        </w:rPr>
        <w:t>供应商</w:t>
      </w:r>
      <w:r>
        <w:rPr>
          <w:rFonts w:hint="eastAsia" w:ascii="宋体" w:hAnsi="宋体"/>
        </w:rPr>
        <w:t>提供翻译，翻译费用由</w:t>
      </w:r>
      <w:r>
        <w:rPr>
          <w:rFonts w:hint="eastAsia" w:ascii="宋体" w:hAnsi="宋体"/>
          <w:lang w:eastAsia="zh-CN"/>
        </w:rPr>
        <w:t>供应商</w:t>
      </w:r>
      <w:r>
        <w:rPr>
          <w:rFonts w:hint="eastAsia" w:ascii="宋体" w:hAnsi="宋体"/>
        </w:rPr>
        <w:t>承担，包含在投标报价中。</w:t>
      </w:r>
    </w:p>
    <w:p w14:paraId="0FDEA3C5">
      <w:pPr>
        <w:spacing w:line="360" w:lineRule="auto"/>
        <w:ind w:firstLine="560"/>
        <w:rPr>
          <w:rFonts w:hint="eastAsia" w:ascii="宋体" w:hAnsi="宋体"/>
        </w:rPr>
      </w:pPr>
      <w:r>
        <w:rPr>
          <w:rFonts w:hint="eastAsia" w:ascii="宋体" w:hAnsi="宋体"/>
        </w:rPr>
        <w:t>每次设计联络会议前，</w:t>
      </w:r>
      <w:r>
        <w:rPr>
          <w:rFonts w:hint="eastAsia" w:ascii="宋体" w:hAnsi="宋体"/>
          <w:lang w:eastAsia="zh-CN"/>
        </w:rPr>
        <w:t>供应商</w:t>
      </w:r>
      <w:r>
        <w:rPr>
          <w:rFonts w:hint="eastAsia" w:ascii="宋体" w:hAnsi="宋体"/>
        </w:rPr>
        <w:t>应做好会议准备（如会议室、投影仪及技术资料等）。所有设计联络和设计审查的文件和图纸应提前4周提供，</w:t>
      </w:r>
      <w:r>
        <w:rPr>
          <w:rFonts w:hint="eastAsia" w:ascii="宋体" w:hAnsi="宋体"/>
          <w:lang w:eastAsia="zh-CN"/>
        </w:rPr>
        <w:t>供应商</w:t>
      </w:r>
      <w:r>
        <w:rPr>
          <w:rFonts w:hint="eastAsia" w:ascii="宋体" w:hAnsi="宋体"/>
        </w:rPr>
        <w:t>应保证提交文件、图纸资料的正确性和完整性，并接受招标人的督促、检查。</w:t>
      </w:r>
    </w:p>
    <w:p w14:paraId="6B3D6B18">
      <w:pPr>
        <w:spacing w:line="360" w:lineRule="auto"/>
        <w:ind w:firstLine="560"/>
        <w:rPr>
          <w:rFonts w:hint="eastAsia" w:ascii="宋体" w:hAnsi="宋体"/>
        </w:rPr>
      </w:pPr>
      <w:r>
        <w:rPr>
          <w:rFonts w:hint="eastAsia" w:ascii="宋体" w:hAnsi="宋体"/>
        </w:rPr>
        <w:t>设计联络会期间，双方签署会议纪要。设计联络确认的任何文件均不免除</w:t>
      </w:r>
      <w:r>
        <w:rPr>
          <w:rFonts w:hint="eastAsia" w:ascii="宋体" w:hAnsi="宋体"/>
          <w:lang w:eastAsia="zh-CN"/>
        </w:rPr>
        <w:t>供应商</w:t>
      </w:r>
      <w:r>
        <w:rPr>
          <w:rFonts w:hint="eastAsia" w:ascii="宋体" w:hAnsi="宋体"/>
        </w:rPr>
        <w:t>的最终责任。招标人不承担任何技术责任。</w:t>
      </w:r>
    </w:p>
    <w:p w14:paraId="2E427034">
      <w:pPr>
        <w:spacing w:line="360" w:lineRule="auto"/>
        <w:ind w:firstLine="560"/>
        <w:rPr>
          <w:rFonts w:hint="eastAsia" w:ascii="宋体" w:hAnsi="宋体"/>
        </w:rPr>
      </w:pPr>
      <w:r>
        <w:rPr>
          <w:rFonts w:hint="eastAsia" w:ascii="宋体" w:hAnsi="宋体"/>
        </w:rPr>
        <w:t>设计联络会之后，</w:t>
      </w:r>
      <w:r>
        <w:rPr>
          <w:rFonts w:hint="eastAsia" w:ascii="宋体" w:hAnsi="宋体"/>
          <w:lang w:eastAsia="zh-CN"/>
        </w:rPr>
        <w:t>供应商</w:t>
      </w:r>
      <w:r>
        <w:rPr>
          <w:rFonts w:hint="eastAsia" w:ascii="宋体" w:hAnsi="宋体"/>
        </w:rPr>
        <w:t>应按照会议纪要的要求做好工作。</w:t>
      </w:r>
    </w:p>
    <w:p w14:paraId="45D757BA">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须根据招标人要求参加其他专业的设计联络会和技术协调会，费用自理。</w:t>
      </w:r>
    </w:p>
    <w:p w14:paraId="714D566E">
      <w:pPr>
        <w:spacing w:line="360" w:lineRule="auto"/>
        <w:ind w:firstLine="560"/>
        <w:rPr>
          <w:rFonts w:hint="eastAsia" w:ascii="宋体" w:hAnsi="宋体"/>
        </w:rPr>
      </w:pPr>
      <w:r>
        <w:rPr>
          <w:rFonts w:hint="eastAsia" w:ascii="宋体" w:hAnsi="宋体"/>
        </w:rPr>
        <w:t>2.设计联络会主要内容</w:t>
      </w:r>
    </w:p>
    <w:p w14:paraId="3EF9AE53">
      <w:pPr>
        <w:spacing w:line="360" w:lineRule="auto"/>
        <w:ind w:firstLine="560"/>
        <w:rPr>
          <w:rFonts w:hint="eastAsia" w:ascii="宋体" w:hAnsi="宋体"/>
        </w:rPr>
      </w:pPr>
      <w:r>
        <w:rPr>
          <w:rFonts w:hint="eastAsia" w:ascii="宋体" w:hAnsi="宋体"/>
        </w:rPr>
        <w:t>设计联络会议主要解决的问题包括但不限于以下几个方面：</w:t>
      </w:r>
    </w:p>
    <w:p w14:paraId="0BA18371">
      <w:pPr>
        <w:spacing w:line="360" w:lineRule="auto"/>
        <w:ind w:firstLine="560"/>
        <w:rPr>
          <w:rFonts w:hint="eastAsia" w:ascii="宋体" w:hAnsi="宋体"/>
        </w:rPr>
      </w:pPr>
      <w:r>
        <w:rPr>
          <w:rFonts w:hint="eastAsia" w:ascii="宋体" w:hAnsi="宋体"/>
        </w:rPr>
        <w:t>（1）确定</w:t>
      </w:r>
      <w:r>
        <w:rPr>
          <w:rFonts w:hint="eastAsia" w:ascii="宋体" w:hAnsi="宋体"/>
          <w:lang w:eastAsia="zh-CN"/>
        </w:rPr>
        <w:t>供应商</w:t>
      </w:r>
      <w:r>
        <w:rPr>
          <w:rFonts w:hint="eastAsia" w:ascii="宋体" w:hAnsi="宋体"/>
        </w:rPr>
        <w:t>设计方案与招标文件的符合性；</w:t>
      </w:r>
    </w:p>
    <w:p w14:paraId="4E3C3EFF">
      <w:pPr>
        <w:spacing w:line="360" w:lineRule="auto"/>
        <w:ind w:firstLine="560"/>
        <w:rPr>
          <w:rFonts w:hint="eastAsia" w:ascii="宋体" w:hAnsi="宋体"/>
        </w:rPr>
      </w:pPr>
      <w:r>
        <w:rPr>
          <w:rFonts w:hint="eastAsia" w:ascii="宋体" w:hAnsi="宋体"/>
        </w:rPr>
        <w:t>（2）确定施工图纸设计符合要求；</w:t>
      </w:r>
    </w:p>
    <w:p w14:paraId="78499845">
      <w:pPr>
        <w:spacing w:line="360" w:lineRule="auto"/>
        <w:ind w:firstLine="560"/>
        <w:rPr>
          <w:rFonts w:hint="eastAsia" w:ascii="宋体" w:hAnsi="宋体"/>
        </w:rPr>
      </w:pPr>
      <w:r>
        <w:rPr>
          <w:rFonts w:hint="eastAsia" w:ascii="宋体" w:hAnsi="宋体"/>
        </w:rPr>
        <w:t>（3）确定接口标准、接口形式、接口内容（与土建、装修、动力照明、通信、信号、车辆、消防等），明确各方的职责；</w:t>
      </w:r>
    </w:p>
    <w:p w14:paraId="3A6394E4">
      <w:pPr>
        <w:spacing w:line="360" w:lineRule="auto"/>
        <w:ind w:firstLine="560"/>
        <w:rPr>
          <w:rFonts w:hint="eastAsia" w:ascii="宋体" w:hAnsi="宋体"/>
        </w:rPr>
      </w:pPr>
      <w:r>
        <w:rPr>
          <w:rFonts w:hint="eastAsia" w:ascii="宋体" w:hAnsi="宋体"/>
        </w:rPr>
        <w:t>（4）确定安装、调试、验收的相关标准；</w:t>
      </w:r>
    </w:p>
    <w:p w14:paraId="1953B231">
      <w:pPr>
        <w:spacing w:line="360" w:lineRule="auto"/>
        <w:ind w:firstLine="560"/>
        <w:rPr>
          <w:rFonts w:hint="eastAsia" w:ascii="宋体" w:hAnsi="宋体"/>
        </w:rPr>
      </w:pPr>
      <w:r>
        <w:rPr>
          <w:rFonts w:hint="eastAsia" w:ascii="宋体" w:hAnsi="宋体"/>
        </w:rPr>
        <w:t>（5）确定产品的出厂验收、检验部件清单、试验项目、技术规格及试验方法。</w:t>
      </w:r>
    </w:p>
    <w:p w14:paraId="3AE7C097">
      <w:pPr>
        <w:spacing w:line="360" w:lineRule="auto"/>
        <w:ind w:firstLine="560"/>
        <w:rPr>
          <w:rFonts w:hint="eastAsia" w:ascii="宋体" w:hAnsi="宋体"/>
        </w:rPr>
      </w:pPr>
      <w:r>
        <w:rPr>
          <w:rFonts w:hint="eastAsia" w:ascii="宋体" w:hAnsi="宋体"/>
        </w:rPr>
        <w:t>双方互提基础资料，确认设备功能、技术参数和设备数量。</w:t>
      </w:r>
    </w:p>
    <w:p w14:paraId="67D442EF">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的设计工作必须严格执行</w:t>
      </w:r>
      <w:r>
        <w:rPr>
          <w:rFonts w:hint="eastAsia" w:ascii="宋体" w:hAnsi="宋体"/>
          <w:lang w:eastAsia="zh-CN"/>
        </w:rPr>
        <w:t>供应商</w:t>
      </w:r>
      <w:r>
        <w:rPr>
          <w:rFonts w:hint="eastAsia" w:ascii="宋体" w:hAnsi="宋体"/>
        </w:rPr>
        <w:t>质量体系和质量计划的相关规定，并应符合招标人、设计单位提出的要求。</w:t>
      </w:r>
    </w:p>
    <w:p w14:paraId="5518C21C">
      <w:pPr>
        <w:spacing w:line="360" w:lineRule="auto"/>
        <w:ind w:firstLine="315" w:firstLineChars="150"/>
        <w:rPr>
          <w:rFonts w:hint="eastAsia" w:ascii="宋体" w:hAnsi="宋体"/>
        </w:rPr>
      </w:pPr>
      <w:r>
        <w:rPr>
          <w:rFonts w:hint="eastAsia" w:ascii="宋体" w:hAnsi="宋体"/>
        </w:rPr>
        <w:t>设计联络所有相关翻译工作由中标人负责。</w:t>
      </w:r>
    </w:p>
    <w:p w14:paraId="31DB8C9B">
      <w:pPr>
        <w:spacing w:line="360" w:lineRule="auto"/>
        <w:ind w:firstLine="560"/>
        <w:rPr>
          <w:rFonts w:hint="eastAsia" w:ascii="宋体" w:hAnsi="宋体"/>
        </w:rPr>
      </w:pPr>
      <w:r>
        <w:rPr>
          <w:rFonts w:hint="eastAsia" w:ascii="宋体" w:hAnsi="宋体"/>
        </w:rPr>
        <w:t>3.设计联络会议</w:t>
      </w:r>
    </w:p>
    <w:p w14:paraId="4EADE761">
      <w:pPr>
        <w:spacing w:line="360" w:lineRule="auto"/>
        <w:ind w:firstLine="560"/>
        <w:rPr>
          <w:rFonts w:hint="eastAsia" w:ascii="宋体" w:hAnsi="宋体"/>
        </w:rPr>
      </w:pPr>
      <w:r>
        <w:rPr>
          <w:rFonts w:hint="eastAsia" w:ascii="宋体" w:hAnsi="宋体"/>
        </w:rPr>
        <w:t>本项目设计联络会共分三次进行：</w:t>
      </w:r>
    </w:p>
    <w:p w14:paraId="0092629D">
      <w:pPr>
        <w:spacing w:line="360" w:lineRule="auto"/>
        <w:ind w:firstLine="560"/>
        <w:rPr>
          <w:rFonts w:hint="eastAsia" w:ascii="宋体" w:hAnsi="宋体"/>
        </w:rPr>
      </w:pPr>
      <w:r>
        <w:rPr>
          <w:rFonts w:hint="eastAsia" w:ascii="宋体" w:hAnsi="宋体"/>
        </w:rPr>
        <w:t>（1）第一次设计联络会在招标人所在地（哈尔滨）进行。招标人参加人数10人·周。要完成的内容包括但不限于：</w:t>
      </w:r>
    </w:p>
    <w:p w14:paraId="0ADDC381">
      <w:pPr>
        <w:spacing w:line="360" w:lineRule="auto"/>
        <w:ind w:firstLine="560"/>
        <w:rPr>
          <w:rFonts w:hint="eastAsia" w:ascii="宋体" w:hAnsi="宋体"/>
        </w:rPr>
      </w:pPr>
      <w:r>
        <w:rPr>
          <w:rFonts w:hint="eastAsia" w:ascii="宋体" w:hAnsi="宋体"/>
        </w:rPr>
        <w:t>①双方互提基础资料，确认设备功能、技术参数和设备数量。</w:t>
      </w:r>
      <w:r>
        <w:rPr>
          <w:rFonts w:hint="eastAsia" w:ascii="宋体" w:hAnsi="宋体"/>
          <w:lang w:eastAsia="zh-CN"/>
        </w:rPr>
        <w:t>供应商</w:t>
      </w:r>
      <w:r>
        <w:rPr>
          <w:rFonts w:hint="eastAsia" w:ascii="宋体" w:hAnsi="宋体"/>
        </w:rPr>
        <w:t>完成设备功能规格的详细编制。完成对设备尺寸、荷载、安装、运输等条件的确认。</w:t>
      </w:r>
    </w:p>
    <w:p w14:paraId="78A1F49E">
      <w:pPr>
        <w:spacing w:line="360" w:lineRule="auto"/>
        <w:ind w:firstLine="560"/>
        <w:rPr>
          <w:rFonts w:hint="eastAsia" w:ascii="宋体" w:hAnsi="宋体"/>
        </w:rPr>
      </w:pPr>
      <w:r>
        <w:rPr>
          <w:rFonts w:hint="eastAsia" w:ascii="宋体" w:hAnsi="宋体"/>
        </w:rPr>
        <w:t>②</w:t>
      </w:r>
      <w:r>
        <w:rPr>
          <w:rFonts w:hint="eastAsia" w:ascii="宋体" w:hAnsi="宋体"/>
          <w:lang w:eastAsia="zh-CN"/>
        </w:rPr>
        <w:t>供应商</w:t>
      </w:r>
      <w:r>
        <w:rPr>
          <w:rFonts w:hint="eastAsia" w:ascii="宋体" w:hAnsi="宋体"/>
        </w:rPr>
        <w:t>完整地介绍产品的技术来源、设计思想，并应出示完整的本型号产品的原装生产图，以证明技术是完整可靠的。</w:t>
      </w:r>
    </w:p>
    <w:p w14:paraId="7832450C">
      <w:pPr>
        <w:spacing w:line="360" w:lineRule="auto"/>
        <w:ind w:firstLine="560"/>
        <w:rPr>
          <w:rFonts w:hint="eastAsia" w:ascii="宋体" w:hAnsi="宋体"/>
        </w:rPr>
      </w:pPr>
      <w:r>
        <w:rPr>
          <w:rFonts w:hint="eastAsia" w:ascii="宋体" w:hAnsi="宋体"/>
        </w:rPr>
        <w:t>③</w:t>
      </w:r>
      <w:r>
        <w:rPr>
          <w:rFonts w:hint="eastAsia" w:ascii="宋体" w:hAnsi="宋体"/>
          <w:lang w:eastAsia="zh-CN"/>
        </w:rPr>
        <w:t>供应商</w:t>
      </w:r>
      <w:r>
        <w:rPr>
          <w:rFonts w:hint="eastAsia" w:ascii="宋体" w:hAnsi="宋体"/>
        </w:rPr>
        <w:t>介绍设备的技术规格、布置及样式、颜色等。设备的整机结构和主要部件（包括电气设计、电气部件）的设计是否符合招标文件的要求。</w:t>
      </w:r>
    </w:p>
    <w:p w14:paraId="3B8FD851">
      <w:pPr>
        <w:spacing w:line="360" w:lineRule="auto"/>
        <w:ind w:firstLine="560"/>
        <w:rPr>
          <w:rFonts w:hint="eastAsia" w:ascii="宋体" w:hAnsi="宋体"/>
        </w:rPr>
      </w:pPr>
      <w:r>
        <w:rPr>
          <w:rFonts w:hint="eastAsia" w:ascii="宋体" w:hAnsi="宋体"/>
        </w:rPr>
        <w:t>④对设备与其他系统之间的接口进行讨论确定，主要包括土建（装修）、动力照明、通信、车辆、消防等。</w:t>
      </w:r>
    </w:p>
    <w:p w14:paraId="186A781D">
      <w:pPr>
        <w:spacing w:line="360" w:lineRule="auto"/>
        <w:ind w:firstLine="560"/>
        <w:rPr>
          <w:rFonts w:hint="eastAsia" w:ascii="宋体" w:hAnsi="宋体"/>
        </w:rPr>
      </w:pPr>
      <w:r>
        <w:rPr>
          <w:rFonts w:hint="eastAsia" w:ascii="宋体" w:hAnsi="宋体"/>
        </w:rPr>
        <w:t>⑤</w:t>
      </w:r>
      <w:r>
        <w:rPr>
          <w:rFonts w:hint="eastAsia" w:ascii="宋体" w:hAnsi="宋体"/>
          <w:lang w:eastAsia="zh-CN"/>
        </w:rPr>
        <w:t>供应商</w:t>
      </w:r>
      <w:r>
        <w:rPr>
          <w:rFonts w:hint="eastAsia" w:ascii="宋体" w:hAnsi="宋体"/>
        </w:rPr>
        <w:t>介绍外协外购单位的情况，并提供质量证明和产品执行标准。</w:t>
      </w:r>
    </w:p>
    <w:p w14:paraId="478EBE76">
      <w:pPr>
        <w:spacing w:line="360" w:lineRule="auto"/>
        <w:ind w:firstLine="560"/>
        <w:rPr>
          <w:rFonts w:hint="eastAsia" w:ascii="宋体" w:hAnsi="宋体"/>
        </w:rPr>
      </w:pPr>
      <w:r>
        <w:rPr>
          <w:rFonts w:hint="eastAsia" w:ascii="宋体" w:hAnsi="宋体"/>
        </w:rPr>
        <w:t>⑥</w:t>
      </w:r>
      <w:r>
        <w:rPr>
          <w:rFonts w:hint="eastAsia" w:ascii="宋体" w:hAnsi="宋体"/>
          <w:lang w:eastAsia="zh-CN"/>
        </w:rPr>
        <w:t>供应商</w:t>
      </w:r>
      <w:r>
        <w:rPr>
          <w:rFonts w:hint="eastAsia" w:ascii="宋体" w:hAnsi="宋体"/>
        </w:rPr>
        <w:t>介绍设备的安装方法，并向招标人提供设备总图、电气原理图等资料。向工程设计单位提供满足其进行相关设计所需的资料。确认系统设计所需有关工程信息。</w:t>
      </w:r>
    </w:p>
    <w:p w14:paraId="4A2D8B1C">
      <w:pPr>
        <w:spacing w:line="360" w:lineRule="auto"/>
        <w:ind w:firstLine="560"/>
        <w:rPr>
          <w:rFonts w:hint="eastAsia" w:ascii="宋体" w:hAnsi="宋体"/>
        </w:rPr>
      </w:pPr>
      <w:r>
        <w:rPr>
          <w:rFonts w:hint="eastAsia" w:ascii="宋体" w:hAnsi="宋体"/>
        </w:rPr>
        <w:t>⑦</w:t>
      </w:r>
      <w:r>
        <w:rPr>
          <w:rFonts w:hint="eastAsia" w:ascii="宋体" w:hAnsi="宋体"/>
          <w:lang w:eastAsia="zh-CN"/>
        </w:rPr>
        <w:t>供应商</w:t>
      </w:r>
      <w:r>
        <w:rPr>
          <w:rFonts w:hint="eastAsia" w:ascii="宋体" w:hAnsi="宋体"/>
        </w:rPr>
        <w:t>介绍详细的培训计划。</w:t>
      </w:r>
    </w:p>
    <w:p w14:paraId="503E8DA2">
      <w:pPr>
        <w:spacing w:line="360" w:lineRule="auto"/>
        <w:ind w:firstLine="560"/>
        <w:rPr>
          <w:rFonts w:hint="eastAsia" w:ascii="宋体" w:hAnsi="宋体"/>
        </w:rPr>
      </w:pPr>
      <w:r>
        <w:rPr>
          <w:rFonts w:hint="eastAsia" w:ascii="宋体" w:hAnsi="宋体"/>
        </w:rPr>
        <w:t>⑧对未作明确规定的内容，双方协商决定。</w:t>
      </w:r>
    </w:p>
    <w:p w14:paraId="0ACC5F3D">
      <w:pPr>
        <w:spacing w:line="360" w:lineRule="auto"/>
        <w:ind w:firstLine="560"/>
        <w:rPr>
          <w:rFonts w:hint="eastAsia" w:ascii="宋体" w:hAnsi="宋体"/>
        </w:rPr>
      </w:pPr>
      <w:r>
        <w:rPr>
          <w:rFonts w:hint="eastAsia" w:ascii="宋体" w:hAnsi="宋体"/>
        </w:rPr>
        <w:t>⑨对第二次设计联络会的议程、内容和时间等做出安排。</w:t>
      </w:r>
    </w:p>
    <w:p w14:paraId="5D6E6367">
      <w:pPr>
        <w:spacing w:line="360" w:lineRule="auto"/>
        <w:ind w:firstLine="560"/>
        <w:rPr>
          <w:rFonts w:hint="eastAsia" w:ascii="宋体" w:hAnsi="宋体"/>
        </w:rPr>
      </w:pPr>
      <w:r>
        <w:rPr>
          <w:rFonts w:hint="eastAsia" w:ascii="宋体" w:hAnsi="宋体"/>
        </w:rPr>
        <w:t>⑩形成会议纪要。</w:t>
      </w:r>
    </w:p>
    <w:p w14:paraId="6EE841C1">
      <w:pPr>
        <w:spacing w:line="360" w:lineRule="auto"/>
        <w:ind w:firstLine="560"/>
        <w:rPr>
          <w:rFonts w:hint="eastAsia" w:ascii="宋体" w:hAnsi="宋体"/>
        </w:rPr>
      </w:pPr>
      <w:r>
        <w:rPr>
          <w:rFonts w:hint="eastAsia" w:ascii="宋体" w:hAnsi="宋体"/>
        </w:rPr>
        <w:t>（2）第二次设计联络会在</w:t>
      </w:r>
      <w:r>
        <w:rPr>
          <w:rFonts w:hint="eastAsia" w:ascii="宋体" w:hAnsi="宋体"/>
          <w:lang w:eastAsia="zh-CN"/>
        </w:rPr>
        <w:t>供应商</w:t>
      </w:r>
      <w:r>
        <w:rPr>
          <w:rFonts w:hint="eastAsia" w:ascii="宋体" w:hAnsi="宋体"/>
        </w:rPr>
        <w:t>所在地进行。招标人参加人数10人·周。投标方在投标文件中单独列出此笔费用，此笔费用应计入投标总价中，其中招标人人员费用包括但不限于往返交通费、食宿费、当地交通费、资料费、保险费等。如果是进口设备，费用按国家相关标准规定执行。要完成的内容包括但不限于：</w:t>
      </w:r>
    </w:p>
    <w:p w14:paraId="5F2F730F">
      <w:pPr>
        <w:spacing w:line="360" w:lineRule="auto"/>
        <w:ind w:firstLine="560"/>
        <w:rPr>
          <w:rFonts w:hint="eastAsia" w:ascii="宋体" w:hAnsi="宋体"/>
        </w:rPr>
      </w:pPr>
      <w:r>
        <w:rPr>
          <w:rFonts w:hint="eastAsia" w:ascii="宋体" w:hAnsi="宋体"/>
        </w:rPr>
        <w:t>①检查第一次设计联络会会议纪要的落实情况，解决第一次设计联络会的遗留问题。</w:t>
      </w:r>
    </w:p>
    <w:p w14:paraId="3A5E00A8">
      <w:pPr>
        <w:spacing w:line="360" w:lineRule="auto"/>
        <w:ind w:firstLine="560"/>
        <w:rPr>
          <w:rFonts w:hint="eastAsia" w:ascii="宋体" w:hAnsi="宋体"/>
        </w:rPr>
      </w:pPr>
      <w:r>
        <w:rPr>
          <w:rFonts w:hint="eastAsia" w:ascii="宋体" w:hAnsi="宋体"/>
        </w:rPr>
        <w:t>②确认施工设计所需的有关图纸、系统设计文件和工程设计文件。</w:t>
      </w:r>
    </w:p>
    <w:p w14:paraId="434C10B0">
      <w:pPr>
        <w:spacing w:line="360" w:lineRule="auto"/>
        <w:ind w:firstLine="560"/>
        <w:rPr>
          <w:rFonts w:hint="eastAsia" w:ascii="宋体" w:hAnsi="宋体"/>
        </w:rPr>
      </w:pPr>
      <w:r>
        <w:rPr>
          <w:rFonts w:hint="eastAsia" w:ascii="宋体" w:hAnsi="宋体"/>
        </w:rPr>
        <w:t>③确认</w:t>
      </w:r>
      <w:r>
        <w:rPr>
          <w:rFonts w:hint="eastAsia" w:ascii="宋体" w:hAnsi="宋体"/>
          <w:lang w:eastAsia="zh-CN"/>
        </w:rPr>
        <w:t>供应商</w:t>
      </w:r>
      <w:r>
        <w:rPr>
          <w:rFonts w:hint="eastAsia" w:ascii="宋体" w:hAnsi="宋体"/>
        </w:rPr>
        <w:t>提供给工程设计单位的相关资料。并为</w:t>
      </w:r>
      <w:r>
        <w:rPr>
          <w:rFonts w:hint="eastAsia" w:ascii="宋体" w:hAnsi="宋体"/>
          <w:lang w:eastAsia="zh-CN"/>
        </w:rPr>
        <w:t>供应商</w:t>
      </w:r>
      <w:r>
        <w:rPr>
          <w:rFonts w:hint="eastAsia" w:ascii="宋体" w:hAnsi="宋体"/>
        </w:rPr>
        <w:t>提供机会讨论和澄清有关设备设计方面的各种问题。</w:t>
      </w:r>
    </w:p>
    <w:p w14:paraId="5828F9BE">
      <w:pPr>
        <w:spacing w:line="360" w:lineRule="auto"/>
        <w:ind w:firstLine="560"/>
        <w:rPr>
          <w:rFonts w:hint="eastAsia" w:ascii="宋体" w:hAnsi="宋体"/>
        </w:rPr>
      </w:pPr>
      <w:r>
        <w:rPr>
          <w:rFonts w:hint="eastAsia" w:ascii="宋体" w:hAnsi="宋体"/>
        </w:rPr>
        <w:t>④根据系统设计确定的功能要求，讨论详细规格书有关设计参数、功能显示、操作控制等，完成详细功能规格书。讨论显示图文符号、格式、设备编号等。</w:t>
      </w:r>
    </w:p>
    <w:p w14:paraId="3701C4A4">
      <w:pPr>
        <w:spacing w:line="360" w:lineRule="auto"/>
        <w:ind w:firstLine="560"/>
        <w:rPr>
          <w:rFonts w:hint="eastAsia" w:ascii="宋体" w:hAnsi="宋体"/>
        </w:rPr>
      </w:pPr>
      <w:r>
        <w:rPr>
          <w:rFonts w:hint="eastAsia" w:ascii="宋体" w:hAnsi="宋体"/>
        </w:rPr>
        <w:t>⑤形成会议纪要。</w:t>
      </w:r>
    </w:p>
    <w:p w14:paraId="59E1A084">
      <w:pPr>
        <w:spacing w:line="360" w:lineRule="auto"/>
        <w:ind w:firstLine="560"/>
        <w:rPr>
          <w:rFonts w:hint="eastAsia" w:ascii="宋体" w:hAnsi="宋体"/>
        </w:rPr>
      </w:pPr>
      <w:r>
        <w:rPr>
          <w:rFonts w:hint="eastAsia" w:ascii="宋体" w:hAnsi="宋体"/>
        </w:rPr>
        <w:t>（3）第三次设计联络会在</w:t>
      </w:r>
      <w:r>
        <w:rPr>
          <w:rFonts w:hint="eastAsia" w:ascii="宋体" w:hAnsi="宋体"/>
          <w:lang w:eastAsia="zh-CN"/>
        </w:rPr>
        <w:t>供应商</w:t>
      </w:r>
      <w:r>
        <w:rPr>
          <w:rFonts w:hint="eastAsia" w:ascii="宋体" w:hAnsi="宋体"/>
        </w:rPr>
        <w:t>所在地进行。招标人参加人数不少于10人·周。要完成的内容包括但不限于：</w:t>
      </w:r>
    </w:p>
    <w:p w14:paraId="3FD7D918">
      <w:pPr>
        <w:tabs>
          <w:tab w:val="left" w:pos="3990"/>
        </w:tabs>
        <w:spacing w:line="360" w:lineRule="auto"/>
        <w:ind w:firstLine="560"/>
        <w:rPr>
          <w:rFonts w:hint="eastAsia" w:ascii="宋体" w:hAnsi="宋体"/>
        </w:rPr>
      </w:pPr>
      <w:r>
        <w:rPr>
          <w:rFonts w:hint="eastAsia" w:ascii="宋体" w:hAnsi="宋体"/>
        </w:rPr>
        <w:t>①完成前两次设计联络会议未解决的事宜。</w:t>
      </w:r>
    </w:p>
    <w:p w14:paraId="56B05232">
      <w:pPr>
        <w:spacing w:line="360" w:lineRule="auto"/>
        <w:ind w:firstLine="560"/>
        <w:rPr>
          <w:rFonts w:hint="eastAsia" w:ascii="宋体" w:hAnsi="宋体"/>
        </w:rPr>
      </w:pPr>
      <w:r>
        <w:rPr>
          <w:rFonts w:hint="eastAsia" w:ascii="宋体" w:hAnsi="宋体"/>
        </w:rPr>
        <w:t>②确认施工设计文件。讨论进度及供货计划、供货设备材料数量、到货时间安排计划和施工组织管理等。</w:t>
      </w:r>
    </w:p>
    <w:p w14:paraId="454E3842">
      <w:pPr>
        <w:spacing w:line="360" w:lineRule="auto"/>
        <w:ind w:firstLine="560"/>
        <w:rPr>
          <w:rFonts w:hint="eastAsia" w:ascii="宋体" w:hAnsi="宋体"/>
        </w:rPr>
      </w:pPr>
      <w:r>
        <w:rPr>
          <w:rFonts w:hint="eastAsia" w:ascii="宋体" w:hAnsi="宋体"/>
        </w:rPr>
        <w:t>③形成会议纪要。</w:t>
      </w:r>
    </w:p>
    <w:p w14:paraId="64D10BA0">
      <w:pPr>
        <w:spacing w:line="360" w:lineRule="auto"/>
        <w:ind w:firstLine="560"/>
        <w:rPr>
          <w:rFonts w:hint="eastAsia" w:ascii="宋体" w:hAnsi="宋体"/>
        </w:rPr>
      </w:pPr>
      <w:r>
        <w:rPr>
          <w:rFonts w:hint="eastAsia" w:ascii="宋体" w:hAnsi="宋体"/>
        </w:rPr>
        <w:t>（4）如有必要，可按招标人要求在招标人所在地召开临时联络会议，费用由中标人承担。</w:t>
      </w:r>
    </w:p>
    <w:p w14:paraId="42B7D630">
      <w:pPr>
        <w:spacing w:line="360" w:lineRule="auto"/>
        <w:ind w:firstLine="560"/>
        <w:rPr>
          <w:rFonts w:hint="eastAsia" w:ascii="宋体" w:hAnsi="宋体"/>
        </w:rPr>
      </w:pPr>
      <w:r>
        <w:rPr>
          <w:rFonts w:hint="eastAsia" w:ascii="宋体" w:hAnsi="宋体"/>
        </w:rPr>
        <w:t>（5）设计联络费用</w:t>
      </w:r>
    </w:p>
    <w:p w14:paraId="21A0B9D8">
      <w:pPr>
        <w:spacing w:line="360" w:lineRule="auto"/>
        <w:ind w:firstLine="560"/>
        <w:rPr>
          <w:rFonts w:hint="eastAsia" w:ascii="宋体" w:hAnsi="宋体"/>
        </w:rPr>
      </w:pPr>
      <w:r>
        <w:rPr>
          <w:rFonts w:hint="eastAsia" w:ascii="宋体" w:hAnsi="宋体"/>
        </w:rPr>
        <w:t>招标人参加设计联络发生的所有费用由</w:t>
      </w:r>
      <w:r>
        <w:rPr>
          <w:rFonts w:hint="eastAsia" w:ascii="宋体" w:hAnsi="宋体"/>
          <w:lang w:eastAsia="zh-CN"/>
        </w:rPr>
        <w:t>供应商</w:t>
      </w:r>
      <w:r>
        <w:rPr>
          <w:rFonts w:hint="eastAsia" w:ascii="宋体" w:hAnsi="宋体"/>
        </w:rPr>
        <w:t>承担。</w:t>
      </w:r>
    </w:p>
    <w:p w14:paraId="2E06551B">
      <w:pPr>
        <w:widowControl/>
        <w:spacing w:line="360" w:lineRule="auto"/>
        <w:ind w:firstLine="360"/>
        <w:jc w:val="left"/>
        <w:outlineLvl w:val="1"/>
        <w:rPr>
          <w:rFonts w:hint="eastAsia" w:ascii="宋体" w:hAnsi="宋体"/>
        </w:rPr>
      </w:pPr>
      <w:bookmarkStart w:id="113" w:name="_Toc5631"/>
      <w:bookmarkStart w:id="114" w:name="_Toc3609"/>
      <w:bookmarkStart w:id="115" w:name="_Toc21896"/>
      <w:bookmarkStart w:id="116" w:name="_Toc5112184"/>
      <w:bookmarkStart w:id="117" w:name="_Toc38273408"/>
      <w:bookmarkStart w:id="118" w:name="_Toc21386"/>
      <w:bookmarkStart w:id="119" w:name="_Toc24665"/>
      <w:bookmarkStart w:id="120" w:name="_Toc12614"/>
      <w:r>
        <w:rPr>
          <w:rFonts w:hint="eastAsia" w:ascii="宋体" w:hAnsi="宋体"/>
        </w:rPr>
        <w:t>9.3测试与检验</w:t>
      </w:r>
      <w:bookmarkEnd w:id="113"/>
      <w:bookmarkEnd w:id="114"/>
      <w:bookmarkEnd w:id="115"/>
      <w:bookmarkEnd w:id="116"/>
      <w:bookmarkEnd w:id="117"/>
      <w:bookmarkEnd w:id="118"/>
      <w:bookmarkEnd w:id="119"/>
      <w:bookmarkEnd w:id="120"/>
    </w:p>
    <w:p w14:paraId="43FBCB25">
      <w:pPr>
        <w:spacing w:line="360" w:lineRule="auto"/>
        <w:ind w:firstLine="560"/>
        <w:rPr>
          <w:rFonts w:hint="eastAsia" w:ascii="宋体" w:hAnsi="宋体"/>
        </w:rPr>
      </w:pPr>
      <w:r>
        <w:rPr>
          <w:rFonts w:hint="eastAsia" w:ascii="宋体" w:hAnsi="宋体"/>
        </w:rPr>
        <w:t>1.一般要求</w:t>
      </w:r>
    </w:p>
    <w:p w14:paraId="2DAD1838">
      <w:pPr>
        <w:spacing w:line="360" w:lineRule="auto"/>
        <w:ind w:firstLine="560"/>
        <w:rPr>
          <w:rFonts w:hint="eastAsia" w:ascii="宋体" w:hAnsi="宋体"/>
        </w:rPr>
      </w:pPr>
      <w:r>
        <w:rPr>
          <w:rFonts w:hint="eastAsia" w:ascii="宋体" w:hAnsi="宋体"/>
        </w:rPr>
        <w:t>（1）</w:t>
      </w:r>
      <w:r>
        <w:rPr>
          <w:rFonts w:hint="eastAsia" w:ascii="宋体" w:hAnsi="宋体"/>
          <w:lang w:eastAsia="zh-CN"/>
        </w:rPr>
        <w:t>供应商</w:t>
      </w:r>
      <w:r>
        <w:rPr>
          <w:rFonts w:hint="eastAsia" w:ascii="宋体" w:hAnsi="宋体"/>
        </w:rPr>
        <w:t>按照合同进度要求负责设备每个阶段的试验和测试，使设备满足合同的各项要求。</w:t>
      </w:r>
      <w:r>
        <w:rPr>
          <w:rFonts w:hint="eastAsia" w:ascii="宋体" w:hAnsi="宋体"/>
          <w:lang w:eastAsia="zh-CN"/>
        </w:rPr>
        <w:t>供应商</w:t>
      </w:r>
      <w:r>
        <w:rPr>
          <w:rFonts w:hint="eastAsia" w:ascii="宋体" w:hAnsi="宋体"/>
        </w:rPr>
        <w:t>应保证设备通过各阶段的各项测试，确保按原定工期完成。</w:t>
      </w:r>
    </w:p>
    <w:p w14:paraId="6486E4A6">
      <w:pPr>
        <w:spacing w:line="360" w:lineRule="auto"/>
        <w:ind w:firstLine="560"/>
        <w:rPr>
          <w:rFonts w:hint="eastAsia" w:ascii="宋体" w:hAnsi="宋体"/>
        </w:rPr>
      </w:pPr>
      <w:r>
        <w:rPr>
          <w:rFonts w:hint="eastAsia" w:ascii="宋体" w:hAnsi="宋体"/>
        </w:rPr>
        <w:t>（2）招标人、监理工程师将参加各阶段的测试和出厂验收，要求</w:t>
      </w:r>
      <w:r>
        <w:rPr>
          <w:rFonts w:hint="eastAsia" w:ascii="宋体" w:hAnsi="宋体"/>
          <w:lang w:eastAsia="zh-CN"/>
        </w:rPr>
        <w:t>供应商</w:t>
      </w:r>
      <w:r>
        <w:rPr>
          <w:rFonts w:hint="eastAsia" w:ascii="宋体" w:hAnsi="宋体"/>
        </w:rPr>
        <w:t>做出计划安排，包括内容、时间、地点，并尽可能把有关测试安排在一起。确保试验、测试和验收能按计划执行。</w:t>
      </w:r>
    </w:p>
    <w:p w14:paraId="25FE9903">
      <w:pPr>
        <w:spacing w:line="360" w:lineRule="auto"/>
        <w:ind w:firstLine="560"/>
        <w:rPr>
          <w:rFonts w:hint="eastAsia" w:ascii="宋体" w:hAnsi="宋体"/>
        </w:rPr>
      </w:pPr>
      <w:r>
        <w:rPr>
          <w:rFonts w:hint="eastAsia" w:ascii="宋体" w:hAnsi="宋体"/>
        </w:rPr>
        <w:t>（3）招标人和监理工程师在试验、测试、检验中的任何行为并不减轻</w:t>
      </w:r>
      <w:r>
        <w:rPr>
          <w:rFonts w:hint="eastAsia" w:ascii="宋体" w:hAnsi="宋体"/>
          <w:lang w:eastAsia="zh-CN"/>
        </w:rPr>
        <w:t>供应商</w:t>
      </w:r>
      <w:r>
        <w:rPr>
          <w:rFonts w:hint="eastAsia" w:ascii="宋体" w:hAnsi="宋体"/>
        </w:rPr>
        <w:t>对产品质量的责任。</w:t>
      </w:r>
    </w:p>
    <w:p w14:paraId="3340C05D">
      <w:pPr>
        <w:spacing w:line="360" w:lineRule="auto"/>
        <w:ind w:firstLine="560"/>
        <w:rPr>
          <w:rFonts w:hint="eastAsia" w:ascii="宋体" w:hAnsi="宋体"/>
        </w:rPr>
      </w:pPr>
      <w:r>
        <w:rPr>
          <w:rFonts w:hint="eastAsia" w:ascii="宋体" w:hAnsi="宋体"/>
        </w:rPr>
        <w:t>（4）如果事先未经招标人审查，</w:t>
      </w:r>
      <w:r>
        <w:rPr>
          <w:rFonts w:hint="eastAsia" w:ascii="宋体" w:hAnsi="宋体"/>
          <w:lang w:eastAsia="zh-CN"/>
        </w:rPr>
        <w:t>供应商</w:t>
      </w:r>
      <w:r>
        <w:rPr>
          <w:rFonts w:hint="eastAsia" w:ascii="宋体" w:hAnsi="宋体"/>
        </w:rPr>
        <w:t>不能改变最初确定的设备制造、测试和检验地点。</w:t>
      </w:r>
    </w:p>
    <w:p w14:paraId="56207312">
      <w:pPr>
        <w:spacing w:line="360" w:lineRule="auto"/>
        <w:ind w:firstLine="560"/>
        <w:rPr>
          <w:rFonts w:hint="eastAsia" w:ascii="宋体" w:hAnsi="宋体"/>
        </w:rPr>
      </w:pPr>
      <w:r>
        <w:rPr>
          <w:rFonts w:hint="eastAsia" w:ascii="宋体" w:hAnsi="宋体"/>
        </w:rPr>
        <w:t>（5）对在各阶段测试、试验、验收中发现的问题，</w:t>
      </w:r>
      <w:r>
        <w:rPr>
          <w:rFonts w:hint="eastAsia" w:ascii="宋体" w:hAnsi="宋体"/>
          <w:lang w:eastAsia="zh-CN"/>
        </w:rPr>
        <w:t>供应商</w:t>
      </w:r>
      <w:r>
        <w:rPr>
          <w:rFonts w:hint="eastAsia" w:ascii="宋体" w:hAnsi="宋体"/>
        </w:rPr>
        <w:t>应尽快解决，且必须在一周内以书面形式给招标人以答复，所发生的费由</w:t>
      </w:r>
      <w:r>
        <w:rPr>
          <w:rFonts w:hint="eastAsia" w:ascii="宋体" w:hAnsi="宋体"/>
          <w:lang w:eastAsia="zh-CN"/>
        </w:rPr>
        <w:t>供应商</w:t>
      </w:r>
      <w:r>
        <w:rPr>
          <w:rFonts w:hint="eastAsia" w:ascii="宋体" w:hAnsi="宋体"/>
        </w:rPr>
        <w:t>负责。</w:t>
      </w:r>
    </w:p>
    <w:p w14:paraId="35EB57BA">
      <w:pPr>
        <w:spacing w:line="360" w:lineRule="auto"/>
        <w:ind w:firstLine="560"/>
        <w:rPr>
          <w:rFonts w:hint="eastAsia" w:ascii="宋体" w:hAnsi="宋体"/>
        </w:rPr>
      </w:pPr>
      <w:r>
        <w:rPr>
          <w:rFonts w:hint="eastAsia" w:ascii="宋体" w:hAnsi="宋体"/>
        </w:rPr>
        <w:t>（6）如果招标人认为某测试的条件、内容、程序、测量、记录和报告格式等任意一项不符合合同或测试程序的要求，招标人有权拒绝接受测试报告并要求重做该项测试。</w:t>
      </w:r>
    </w:p>
    <w:p w14:paraId="20913A69">
      <w:pPr>
        <w:spacing w:line="360" w:lineRule="auto"/>
        <w:ind w:firstLine="560"/>
        <w:rPr>
          <w:rFonts w:hint="eastAsia" w:ascii="宋体" w:hAnsi="宋体"/>
        </w:rPr>
      </w:pPr>
      <w:r>
        <w:rPr>
          <w:rFonts w:hint="eastAsia" w:ascii="宋体" w:hAnsi="宋体"/>
        </w:rPr>
        <w:t>（7）在设备各阶段测试、检验中所需的工具、仪器由</w:t>
      </w:r>
      <w:r>
        <w:rPr>
          <w:rFonts w:hint="eastAsia" w:ascii="宋体" w:hAnsi="宋体"/>
          <w:lang w:eastAsia="zh-CN"/>
        </w:rPr>
        <w:t>供应商</w:t>
      </w:r>
      <w:r>
        <w:rPr>
          <w:rFonts w:hint="eastAsia" w:ascii="宋体" w:hAnsi="宋体"/>
        </w:rPr>
        <w:t>负责，提供的工具、仪表应在检验证书有效期内。</w:t>
      </w:r>
    </w:p>
    <w:p w14:paraId="7E7A9EB0">
      <w:pPr>
        <w:spacing w:line="360" w:lineRule="auto"/>
        <w:ind w:firstLine="560"/>
        <w:rPr>
          <w:rFonts w:hint="eastAsia" w:ascii="宋体" w:hAnsi="宋体"/>
        </w:rPr>
      </w:pPr>
      <w:r>
        <w:rPr>
          <w:rFonts w:hint="eastAsia" w:ascii="宋体" w:hAnsi="宋体"/>
        </w:rPr>
        <w:t>（8）</w:t>
      </w:r>
      <w:r>
        <w:rPr>
          <w:rFonts w:hint="eastAsia" w:ascii="宋体" w:hAnsi="宋体"/>
          <w:lang w:eastAsia="zh-CN"/>
        </w:rPr>
        <w:t>供应商</w:t>
      </w:r>
      <w:r>
        <w:rPr>
          <w:rFonts w:hint="eastAsia" w:ascii="宋体" w:hAnsi="宋体"/>
        </w:rPr>
        <w:t>应在投标文件中提供测试、检验和验收的建议书，内容包括各阶段测试、检验的内容、方法和标准。</w:t>
      </w:r>
    </w:p>
    <w:p w14:paraId="4126D041">
      <w:pPr>
        <w:spacing w:line="360" w:lineRule="auto"/>
        <w:ind w:firstLine="560"/>
        <w:rPr>
          <w:rFonts w:hint="eastAsia" w:ascii="宋体" w:hAnsi="宋体"/>
        </w:rPr>
      </w:pPr>
      <w:r>
        <w:rPr>
          <w:rFonts w:hint="eastAsia" w:ascii="宋体" w:hAnsi="宋体"/>
        </w:rPr>
        <w:t>（9）</w:t>
      </w:r>
      <w:r>
        <w:rPr>
          <w:rFonts w:hint="eastAsia" w:ascii="宋体" w:hAnsi="宋体"/>
          <w:lang w:eastAsia="zh-CN"/>
        </w:rPr>
        <w:t>供应商</w:t>
      </w:r>
      <w:r>
        <w:rPr>
          <w:rFonts w:hint="eastAsia" w:ascii="宋体" w:hAnsi="宋体"/>
        </w:rPr>
        <w:t>负责各项试验的实施，每项试验、检验实施的前30天，</w:t>
      </w:r>
      <w:r>
        <w:rPr>
          <w:rFonts w:hint="eastAsia" w:ascii="宋体" w:hAnsi="宋体"/>
          <w:lang w:eastAsia="zh-CN"/>
        </w:rPr>
        <w:t>供应商</w:t>
      </w:r>
      <w:r>
        <w:rPr>
          <w:rFonts w:hint="eastAsia" w:ascii="宋体" w:hAnsi="宋体"/>
        </w:rPr>
        <w:t>应将试验程序、检验标准提交招标人确认，</w:t>
      </w:r>
      <w:r>
        <w:rPr>
          <w:rFonts w:hint="eastAsia" w:ascii="宋体" w:hAnsi="宋体"/>
          <w:lang w:eastAsia="zh-CN"/>
        </w:rPr>
        <w:t>供应商</w:t>
      </w:r>
      <w:r>
        <w:rPr>
          <w:rFonts w:hint="eastAsia" w:ascii="宋体" w:hAnsi="宋体"/>
        </w:rPr>
        <w:t>负责提供上述各次测试试验的技术报告文件，并负责测试结果的准确性。</w:t>
      </w:r>
    </w:p>
    <w:p w14:paraId="09103372">
      <w:pPr>
        <w:spacing w:line="360" w:lineRule="auto"/>
        <w:ind w:firstLine="560"/>
        <w:rPr>
          <w:rFonts w:hint="eastAsia" w:ascii="宋体" w:hAnsi="宋体"/>
        </w:rPr>
      </w:pPr>
      <w:r>
        <w:rPr>
          <w:rFonts w:hint="eastAsia" w:ascii="宋体" w:hAnsi="宋体"/>
        </w:rPr>
        <w:t>2.投产</w:t>
      </w:r>
    </w:p>
    <w:p w14:paraId="4D924A1F">
      <w:pPr>
        <w:spacing w:line="360" w:lineRule="auto"/>
        <w:ind w:firstLine="560"/>
        <w:rPr>
          <w:rFonts w:hint="eastAsia" w:ascii="宋体" w:hAnsi="宋体"/>
        </w:rPr>
      </w:pPr>
      <w:r>
        <w:rPr>
          <w:rFonts w:hint="eastAsia" w:ascii="宋体" w:hAnsi="宋体"/>
        </w:rPr>
        <w:t>（1）</w:t>
      </w:r>
      <w:r>
        <w:rPr>
          <w:rFonts w:hint="eastAsia" w:ascii="宋体" w:hAnsi="宋体"/>
          <w:lang w:eastAsia="zh-CN"/>
        </w:rPr>
        <w:t>供应商</w:t>
      </w:r>
      <w:r>
        <w:rPr>
          <w:rFonts w:hint="eastAsia" w:ascii="宋体" w:hAnsi="宋体"/>
        </w:rPr>
        <w:t>根据现场实施进度和设备生产周期等要求，制定生产计划，及时向招标人上报生产进度计划表，出现可能引起重大延误的问题时必须立即向监理工程师提出，并通报招标人。</w:t>
      </w:r>
    </w:p>
    <w:p w14:paraId="00325976">
      <w:pPr>
        <w:spacing w:line="360" w:lineRule="auto"/>
        <w:ind w:firstLine="560"/>
        <w:rPr>
          <w:rFonts w:hint="eastAsia" w:ascii="宋体" w:hAnsi="宋体"/>
        </w:rPr>
      </w:pPr>
      <w:r>
        <w:rPr>
          <w:rFonts w:hint="eastAsia" w:ascii="宋体" w:hAnsi="宋体"/>
        </w:rPr>
        <w:t>（2）</w:t>
      </w:r>
      <w:r>
        <w:rPr>
          <w:rFonts w:hint="eastAsia" w:ascii="宋体" w:hAnsi="宋体"/>
          <w:lang w:eastAsia="zh-CN"/>
        </w:rPr>
        <w:t>供应商</w:t>
      </w:r>
      <w:r>
        <w:rPr>
          <w:rFonts w:hint="eastAsia" w:ascii="宋体" w:hAnsi="宋体"/>
        </w:rPr>
        <w:t>对于延误的工作应说明原因，并制定采取补救措施和完成计划。</w:t>
      </w:r>
    </w:p>
    <w:p w14:paraId="269EC14F">
      <w:pPr>
        <w:spacing w:line="360" w:lineRule="auto"/>
        <w:ind w:firstLine="560"/>
        <w:rPr>
          <w:rFonts w:hint="eastAsia" w:ascii="宋体" w:hAnsi="宋体"/>
        </w:rPr>
      </w:pPr>
      <w:r>
        <w:rPr>
          <w:rFonts w:hint="eastAsia" w:ascii="宋体" w:hAnsi="宋体"/>
        </w:rPr>
        <w:t>3.工厂测试和检验</w:t>
      </w:r>
    </w:p>
    <w:p w14:paraId="336ACB71">
      <w:pPr>
        <w:spacing w:line="360" w:lineRule="auto"/>
        <w:ind w:firstLine="560"/>
        <w:rPr>
          <w:rFonts w:hint="eastAsia" w:ascii="宋体" w:hAnsi="宋体"/>
        </w:rPr>
      </w:pPr>
      <w:r>
        <w:rPr>
          <w:rFonts w:hint="eastAsia" w:ascii="宋体" w:hAnsi="宋体"/>
        </w:rPr>
        <w:t>（1）招标人有权派有关人员赴</w:t>
      </w:r>
      <w:r>
        <w:rPr>
          <w:rFonts w:hint="eastAsia" w:ascii="宋体" w:hAnsi="宋体"/>
          <w:lang w:eastAsia="zh-CN"/>
        </w:rPr>
        <w:t>供应商</w:t>
      </w:r>
      <w:r>
        <w:rPr>
          <w:rFonts w:hint="eastAsia" w:ascii="宋体" w:hAnsi="宋体"/>
        </w:rPr>
        <w:t>工厂对货物、关键部件、关键工序进行检验，</w:t>
      </w:r>
      <w:r>
        <w:rPr>
          <w:rFonts w:hint="eastAsia" w:ascii="宋体" w:hAnsi="宋体"/>
          <w:lang w:eastAsia="zh-CN"/>
        </w:rPr>
        <w:t>供应商</w:t>
      </w:r>
      <w:r>
        <w:rPr>
          <w:rFonts w:hint="eastAsia" w:ascii="宋体" w:hAnsi="宋体"/>
        </w:rPr>
        <w:t>负责所有相关费用，并应予以配合、提供工作便利。</w:t>
      </w:r>
    </w:p>
    <w:p w14:paraId="230B8AD0">
      <w:pPr>
        <w:spacing w:line="360" w:lineRule="auto"/>
        <w:ind w:firstLine="560"/>
        <w:rPr>
          <w:rFonts w:hint="eastAsia" w:ascii="宋体" w:hAnsi="宋体"/>
        </w:rPr>
      </w:pPr>
      <w:r>
        <w:rPr>
          <w:rFonts w:hint="eastAsia" w:ascii="宋体" w:hAnsi="宋体"/>
        </w:rPr>
        <w:t>（2）</w:t>
      </w:r>
      <w:r>
        <w:rPr>
          <w:rFonts w:hint="eastAsia" w:ascii="宋体" w:hAnsi="宋体"/>
          <w:lang w:eastAsia="zh-CN"/>
        </w:rPr>
        <w:t>供应商</w:t>
      </w:r>
      <w:r>
        <w:rPr>
          <w:rFonts w:hint="eastAsia" w:ascii="宋体" w:hAnsi="宋体"/>
        </w:rPr>
        <w:t>负责向招标人提供其供货范围内的各种工厂测试和检验标准，完成工厂测试和检验并向招标人提供各种工厂测试和检验报告。</w:t>
      </w:r>
    </w:p>
    <w:p w14:paraId="0CD92276">
      <w:pPr>
        <w:spacing w:line="360" w:lineRule="auto"/>
        <w:ind w:firstLine="560"/>
        <w:rPr>
          <w:rFonts w:hint="eastAsia" w:ascii="宋体" w:hAnsi="宋体"/>
        </w:rPr>
      </w:pPr>
      <w:r>
        <w:rPr>
          <w:rFonts w:hint="eastAsia" w:ascii="宋体" w:hAnsi="宋体"/>
        </w:rPr>
        <w:t>（3）在交货前，</w:t>
      </w:r>
      <w:r>
        <w:rPr>
          <w:rFonts w:hint="eastAsia" w:ascii="宋体" w:hAnsi="宋体"/>
          <w:lang w:eastAsia="zh-CN"/>
        </w:rPr>
        <w:t>供应商</w:t>
      </w:r>
      <w:r>
        <w:rPr>
          <w:rFonts w:hint="eastAsia" w:ascii="宋体" w:hAnsi="宋体"/>
        </w:rPr>
        <w:t>应对所有货物的质量、规格、性能、数量和重量等进行全面的检验和试验，出厂前必须进行整机总装和试验。所有的检验、试验和总装必须有正式的记录文件。最后出具证明货物符合合同规定的检验证书，检验证书是到货付款时提交文件的一个组成部分，但不能因此免去有关质量、规格、性能、数量或重量的最终检验。</w:t>
      </w:r>
      <w:r>
        <w:rPr>
          <w:rFonts w:hint="eastAsia" w:ascii="宋体" w:hAnsi="宋体"/>
          <w:lang w:eastAsia="zh-CN"/>
        </w:rPr>
        <w:t>供应商</w:t>
      </w:r>
      <w:r>
        <w:rPr>
          <w:rFonts w:hint="eastAsia" w:ascii="宋体" w:hAnsi="宋体"/>
        </w:rPr>
        <w:t>检验的结果和细节应附在质量检验证书后面。</w:t>
      </w:r>
    </w:p>
    <w:p w14:paraId="010BB4A1">
      <w:pPr>
        <w:spacing w:line="360" w:lineRule="auto"/>
        <w:ind w:firstLine="560"/>
        <w:rPr>
          <w:rFonts w:hint="eastAsia" w:ascii="宋体" w:hAnsi="宋体"/>
        </w:rPr>
      </w:pPr>
      <w:r>
        <w:rPr>
          <w:rFonts w:hint="eastAsia" w:ascii="宋体" w:hAnsi="宋体"/>
        </w:rPr>
        <w:t>（4）如果任何被检验或测试的设备不能满足合同规定的技术要求，招标人有权拒绝接收该设备，</w:t>
      </w:r>
      <w:r>
        <w:rPr>
          <w:rFonts w:hint="eastAsia" w:ascii="宋体" w:hAnsi="宋体"/>
          <w:lang w:eastAsia="zh-CN"/>
        </w:rPr>
        <w:t>供应商</w:t>
      </w:r>
      <w:r>
        <w:rPr>
          <w:rFonts w:hint="eastAsia" w:ascii="宋体" w:hAnsi="宋体"/>
        </w:rPr>
        <w:t>应更换被拒绝的设备或者免费进行必要的整修以满足合同规定的技术要求。</w:t>
      </w:r>
    </w:p>
    <w:p w14:paraId="391D3AF6">
      <w:pPr>
        <w:spacing w:line="360" w:lineRule="auto"/>
        <w:ind w:firstLine="560"/>
        <w:rPr>
          <w:rFonts w:hint="eastAsia" w:ascii="宋体" w:hAnsi="宋体"/>
        </w:rPr>
      </w:pPr>
      <w:r>
        <w:rPr>
          <w:rFonts w:hint="eastAsia" w:ascii="宋体" w:hAnsi="宋体"/>
        </w:rPr>
        <w:t>（5）设备测试和检验的依据</w:t>
      </w:r>
    </w:p>
    <w:p w14:paraId="316BCB3B">
      <w:pPr>
        <w:spacing w:line="360" w:lineRule="auto"/>
        <w:ind w:firstLine="560"/>
        <w:rPr>
          <w:rFonts w:hint="eastAsia" w:ascii="宋体" w:hAnsi="宋体"/>
        </w:rPr>
      </w:pPr>
      <w:r>
        <w:rPr>
          <w:rFonts w:hint="eastAsia" w:ascii="宋体" w:hAnsi="宋体"/>
        </w:rPr>
        <w:t>①招标文件及有关合同；</w:t>
      </w:r>
    </w:p>
    <w:p w14:paraId="0F606FE7">
      <w:pPr>
        <w:spacing w:line="360" w:lineRule="auto"/>
        <w:ind w:firstLine="560"/>
        <w:rPr>
          <w:rFonts w:hint="eastAsia" w:ascii="宋体" w:hAnsi="宋体"/>
        </w:rPr>
      </w:pPr>
      <w:r>
        <w:rPr>
          <w:rFonts w:hint="eastAsia" w:ascii="宋体" w:hAnsi="宋体"/>
        </w:rPr>
        <w:t>②设计联络中双方确认的技术标准、图纸、技术文件；</w:t>
      </w:r>
    </w:p>
    <w:p w14:paraId="01B19FC1">
      <w:pPr>
        <w:spacing w:line="360" w:lineRule="auto"/>
        <w:ind w:firstLine="560"/>
        <w:rPr>
          <w:rFonts w:hint="eastAsia" w:ascii="宋体" w:hAnsi="宋体"/>
        </w:rPr>
      </w:pPr>
      <w:r>
        <w:rPr>
          <w:rFonts w:hint="eastAsia" w:ascii="宋体" w:hAnsi="宋体"/>
        </w:rPr>
        <w:t>③合同执行过程中双方确认的更改部分（书面资料）。</w:t>
      </w:r>
    </w:p>
    <w:p w14:paraId="164A5062">
      <w:pPr>
        <w:spacing w:line="360" w:lineRule="auto"/>
        <w:ind w:firstLine="560"/>
        <w:rPr>
          <w:rFonts w:hint="eastAsia" w:ascii="宋体" w:hAnsi="宋体"/>
        </w:rPr>
      </w:pPr>
      <w:r>
        <w:rPr>
          <w:rFonts w:hint="eastAsia" w:ascii="宋体" w:hAnsi="宋体"/>
        </w:rPr>
        <w:t>（6）</w:t>
      </w:r>
      <w:r>
        <w:rPr>
          <w:rFonts w:hint="eastAsia" w:ascii="宋体" w:hAnsi="宋体"/>
          <w:lang w:eastAsia="zh-CN"/>
        </w:rPr>
        <w:t>供应商</w:t>
      </w:r>
      <w:r>
        <w:rPr>
          <w:rFonts w:hint="eastAsia" w:ascii="宋体" w:hAnsi="宋体"/>
        </w:rPr>
        <w:t>提供的设备须具有质量合格证、检查与试验报告等质量证明材料。招标人的认可不减轻</w:t>
      </w:r>
      <w:r>
        <w:rPr>
          <w:rFonts w:hint="eastAsia" w:ascii="宋体" w:hAnsi="宋体"/>
          <w:lang w:eastAsia="zh-CN"/>
        </w:rPr>
        <w:t>供应商</w:t>
      </w:r>
      <w:r>
        <w:rPr>
          <w:rFonts w:hint="eastAsia" w:ascii="宋体" w:hAnsi="宋体"/>
        </w:rPr>
        <w:t>对合同项目所负的全部责任。</w:t>
      </w:r>
    </w:p>
    <w:p w14:paraId="3BFA8BF5">
      <w:pPr>
        <w:spacing w:line="360" w:lineRule="auto"/>
        <w:ind w:firstLine="560"/>
        <w:rPr>
          <w:rFonts w:hint="eastAsia" w:ascii="宋体" w:hAnsi="宋体"/>
        </w:rPr>
      </w:pPr>
      <w:r>
        <w:rPr>
          <w:rFonts w:hint="eastAsia" w:ascii="宋体" w:hAnsi="宋体"/>
        </w:rPr>
        <w:t>（7）</w:t>
      </w:r>
      <w:r>
        <w:rPr>
          <w:rFonts w:hint="eastAsia" w:ascii="宋体" w:hAnsi="宋体"/>
          <w:lang w:eastAsia="zh-CN"/>
        </w:rPr>
        <w:t>供应商</w:t>
      </w:r>
      <w:r>
        <w:rPr>
          <w:rFonts w:hint="eastAsia" w:ascii="宋体" w:hAnsi="宋体"/>
        </w:rPr>
        <w:t>必须向招标人一方的检查人员提供必要的技术文件、图纸、劳动保护用品及工作条件。</w:t>
      </w:r>
    </w:p>
    <w:p w14:paraId="15D80402">
      <w:pPr>
        <w:spacing w:line="360" w:lineRule="auto"/>
        <w:ind w:firstLine="560"/>
        <w:rPr>
          <w:rFonts w:hint="eastAsia" w:ascii="宋体" w:hAnsi="宋体"/>
        </w:rPr>
      </w:pPr>
      <w:r>
        <w:rPr>
          <w:rFonts w:hint="eastAsia" w:ascii="宋体" w:hAnsi="宋体"/>
        </w:rPr>
        <w:t>（8）</w:t>
      </w:r>
      <w:r>
        <w:rPr>
          <w:rFonts w:hint="eastAsia" w:ascii="宋体" w:hAnsi="宋体"/>
          <w:lang w:eastAsia="zh-CN"/>
        </w:rPr>
        <w:t>供应商</w:t>
      </w:r>
      <w:r>
        <w:rPr>
          <w:rFonts w:hint="eastAsia" w:ascii="宋体" w:hAnsi="宋体"/>
        </w:rPr>
        <w:t>编制的试验大纲经招标人确认后，由</w:t>
      </w:r>
      <w:r>
        <w:rPr>
          <w:rFonts w:hint="eastAsia" w:ascii="宋体" w:hAnsi="宋体"/>
          <w:lang w:eastAsia="zh-CN"/>
        </w:rPr>
        <w:t>供应商</w:t>
      </w:r>
      <w:r>
        <w:rPr>
          <w:rFonts w:hint="eastAsia" w:ascii="宋体" w:hAnsi="宋体"/>
        </w:rPr>
        <w:t>负责实行。</w:t>
      </w:r>
    </w:p>
    <w:p w14:paraId="1B1E7794">
      <w:pPr>
        <w:spacing w:line="360" w:lineRule="auto"/>
        <w:ind w:firstLine="560"/>
        <w:rPr>
          <w:rFonts w:hint="eastAsia" w:ascii="宋体" w:hAnsi="宋体"/>
        </w:rPr>
      </w:pPr>
      <w:r>
        <w:rPr>
          <w:rFonts w:hint="eastAsia" w:ascii="宋体" w:hAnsi="宋体"/>
        </w:rPr>
        <w:t>（9）凡属由国家法定机构完成的检查、验收，应遵照有关规定执行，且必须取得合格证明，作为招标人验收的必要条件。</w:t>
      </w:r>
    </w:p>
    <w:p w14:paraId="7ADE1ABD">
      <w:pPr>
        <w:spacing w:line="360" w:lineRule="auto"/>
        <w:ind w:firstLine="560"/>
        <w:rPr>
          <w:rFonts w:hint="eastAsia" w:ascii="宋体" w:hAnsi="宋体"/>
        </w:rPr>
      </w:pPr>
      <w:r>
        <w:rPr>
          <w:rFonts w:hint="eastAsia" w:ascii="宋体" w:hAnsi="宋体"/>
        </w:rPr>
        <w:t>（10）主要部件制造质量检查</w:t>
      </w:r>
    </w:p>
    <w:p w14:paraId="35B4CAC8">
      <w:pPr>
        <w:spacing w:line="360" w:lineRule="auto"/>
        <w:ind w:firstLine="560"/>
        <w:rPr>
          <w:rFonts w:hint="eastAsia" w:ascii="宋体" w:hAnsi="宋体"/>
        </w:rPr>
      </w:pPr>
      <w:r>
        <w:rPr>
          <w:rFonts w:hint="eastAsia" w:ascii="宋体" w:hAnsi="宋体"/>
        </w:rPr>
        <w:t>①</w:t>
      </w:r>
      <w:r>
        <w:rPr>
          <w:rFonts w:hint="eastAsia" w:ascii="宋体" w:hAnsi="宋体"/>
          <w:lang w:eastAsia="zh-CN"/>
        </w:rPr>
        <w:t>供应商</w:t>
      </w:r>
      <w:r>
        <w:rPr>
          <w:rFonts w:hint="eastAsia" w:ascii="宋体" w:hAnsi="宋体"/>
        </w:rPr>
        <w:t>应按项目进度要求，向招标人提交主要部件原材料检验报告，外购件的检验报告、合格证，以证明符合设计要求。</w:t>
      </w:r>
    </w:p>
    <w:p w14:paraId="73D439E3">
      <w:pPr>
        <w:spacing w:line="360" w:lineRule="auto"/>
        <w:ind w:firstLine="560"/>
        <w:rPr>
          <w:rFonts w:hint="eastAsia" w:ascii="宋体" w:hAnsi="宋体"/>
        </w:rPr>
      </w:pPr>
      <w:r>
        <w:rPr>
          <w:rFonts w:hint="eastAsia" w:ascii="宋体" w:hAnsi="宋体"/>
        </w:rPr>
        <w:t>②对重要部件和原材料的检验，</w:t>
      </w:r>
      <w:r>
        <w:rPr>
          <w:rFonts w:hint="eastAsia" w:ascii="宋体" w:hAnsi="宋体"/>
          <w:lang w:eastAsia="zh-CN"/>
        </w:rPr>
        <w:t>供应商</w:t>
      </w:r>
      <w:r>
        <w:rPr>
          <w:rFonts w:hint="eastAsia" w:ascii="宋体" w:hAnsi="宋体"/>
        </w:rPr>
        <w:t>在投标时应指明其投标设备中主要组件的外协厂家和主要构件的制造单位。招标人有权对其外协厂家和外购件制造单位进行调查；有权在制造过程中对合同部件进行检查和测试。如发现外协厂家和外购件制造单位提供的部件不能满足本合同设备的要求，招标人有权向</w:t>
      </w:r>
      <w:r>
        <w:rPr>
          <w:rFonts w:hint="eastAsia" w:ascii="宋体" w:hAnsi="宋体"/>
          <w:lang w:eastAsia="zh-CN"/>
        </w:rPr>
        <w:t>供应商</w:t>
      </w:r>
      <w:r>
        <w:rPr>
          <w:rFonts w:hint="eastAsia" w:ascii="宋体" w:hAnsi="宋体"/>
        </w:rPr>
        <w:t>提出质疑和更换。</w:t>
      </w:r>
    </w:p>
    <w:p w14:paraId="2FBDB480">
      <w:pPr>
        <w:spacing w:line="360" w:lineRule="auto"/>
        <w:ind w:firstLine="560"/>
        <w:rPr>
          <w:rFonts w:hint="eastAsia" w:ascii="宋体" w:hAnsi="宋体"/>
        </w:rPr>
      </w:pPr>
      <w:r>
        <w:rPr>
          <w:rFonts w:hint="eastAsia" w:ascii="宋体" w:hAnsi="宋体"/>
        </w:rPr>
        <w:t>③如检验不符合要求，</w:t>
      </w:r>
      <w:r>
        <w:rPr>
          <w:rFonts w:hint="eastAsia" w:ascii="宋体" w:hAnsi="宋体"/>
          <w:lang w:eastAsia="zh-CN"/>
        </w:rPr>
        <w:t>供应商</w:t>
      </w:r>
      <w:r>
        <w:rPr>
          <w:rFonts w:hint="eastAsia" w:ascii="宋体" w:hAnsi="宋体"/>
        </w:rPr>
        <w:t>应更换，直到被证明符合要求，才能开始生产，但不能因此影响项目进度的执行。</w:t>
      </w:r>
    </w:p>
    <w:p w14:paraId="1BC24FDE">
      <w:pPr>
        <w:spacing w:line="360" w:lineRule="auto"/>
        <w:ind w:firstLine="560"/>
        <w:rPr>
          <w:rFonts w:hint="eastAsia" w:ascii="宋体" w:hAnsi="宋体"/>
        </w:rPr>
      </w:pPr>
      <w:r>
        <w:rPr>
          <w:rFonts w:hint="eastAsia" w:ascii="宋体" w:hAnsi="宋体"/>
        </w:rPr>
        <w:t>④全部部件检验合格，项目才能进入整机试验阶段。</w:t>
      </w:r>
    </w:p>
    <w:p w14:paraId="087EC86D">
      <w:pPr>
        <w:spacing w:line="360" w:lineRule="auto"/>
        <w:ind w:firstLine="560"/>
        <w:rPr>
          <w:rFonts w:hint="eastAsia" w:ascii="宋体" w:hAnsi="宋体"/>
        </w:rPr>
      </w:pPr>
      <w:r>
        <w:rPr>
          <w:rFonts w:hint="eastAsia" w:ascii="宋体" w:hAnsi="宋体"/>
        </w:rPr>
        <w:t>（11）招标人应安排不少于10人•周到</w:t>
      </w:r>
      <w:r>
        <w:rPr>
          <w:rFonts w:hint="eastAsia" w:ascii="宋体" w:hAnsi="宋体"/>
          <w:lang w:eastAsia="zh-CN"/>
        </w:rPr>
        <w:t>供应商</w:t>
      </w:r>
      <w:r>
        <w:rPr>
          <w:rFonts w:hint="eastAsia" w:ascii="宋体" w:hAnsi="宋体"/>
        </w:rPr>
        <w:t>所在地进行设备监造和验收。招标人参加设备监造验收发生的所有费用由</w:t>
      </w:r>
      <w:r>
        <w:rPr>
          <w:rFonts w:hint="eastAsia" w:ascii="宋体" w:hAnsi="宋体"/>
          <w:lang w:eastAsia="zh-CN"/>
        </w:rPr>
        <w:t>供应商</w:t>
      </w:r>
      <w:r>
        <w:rPr>
          <w:rFonts w:hint="eastAsia" w:ascii="宋体" w:hAnsi="宋体"/>
        </w:rPr>
        <w:t>承担。</w:t>
      </w:r>
    </w:p>
    <w:p w14:paraId="02DBA9BC">
      <w:pPr>
        <w:spacing w:line="360" w:lineRule="auto"/>
        <w:ind w:firstLine="560"/>
        <w:rPr>
          <w:rFonts w:hint="eastAsia" w:ascii="宋体" w:hAnsi="宋体"/>
        </w:rPr>
      </w:pPr>
      <w:r>
        <w:rPr>
          <w:rFonts w:hint="eastAsia" w:ascii="宋体" w:hAnsi="宋体"/>
        </w:rPr>
        <w:t>4.出厂验收</w:t>
      </w:r>
    </w:p>
    <w:p w14:paraId="400B4440">
      <w:pPr>
        <w:spacing w:line="360" w:lineRule="auto"/>
        <w:ind w:firstLine="560"/>
        <w:rPr>
          <w:rFonts w:hint="eastAsia" w:ascii="宋体" w:hAnsi="宋体"/>
        </w:rPr>
      </w:pPr>
      <w:r>
        <w:rPr>
          <w:rFonts w:hint="eastAsia" w:ascii="宋体" w:hAnsi="宋体"/>
        </w:rPr>
        <w:t>（1）出厂验收的设备是招标人实际购买的设备。</w:t>
      </w:r>
    </w:p>
    <w:p w14:paraId="0B461283">
      <w:pPr>
        <w:spacing w:line="360" w:lineRule="auto"/>
        <w:ind w:firstLine="560"/>
        <w:rPr>
          <w:rFonts w:hint="eastAsia" w:ascii="宋体" w:hAnsi="宋体"/>
        </w:rPr>
      </w:pPr>
      <w:r>
        <w:rPr>
          <w:rFonts w:hint="eastAsia" w:ascii="宋体" w:hAnsi="宋体"/>
        </w:rPr>
        <w:t>（2）</w:t>
      </w:r>
      <w:r>
        <w:rPr>
          <w:rFonts w:hint="eastAsia" w:ascii="宋体" w:hAnsi="宋体"/>
          <w:lang w:eastAsia="zh-CN"/>
        </w:rPr>
        <w:t>供应商</w:t>
      </w:r>
      <w:r>
        <w:rPr>
          <w:rFonts w:hint="eastAsia" w:ascii="宋体" w:hAnsi="宋体"/>
        </w:rPr>
        <w:t>根据生产进度的情况，应提前通知招标人进行验收的日期。</w:t>
      </w:r>
    </w:p>
    <w:p w14:paraId="1A40EC1B">
      <w:pPr>
        <w:spacing w:line="360" w:lineRule="auto"/>
        <w:ind w:firstLine="560"/>
        <w:rPr>
          <w:rFonts w:hint="eastAsia" w:ascii="宋体" w:hAnsi="宋体"/>
        </w:rPr>
      </w:pPr>
      <w:r>
        <w:rPr>
          <w:rFonts w:hint="eastAsia" w:ascii="宋体" w:hAnsi="宋体"/>
        </w:rPr>
        <w:t>（3）</w:t>
      </w:r>
      <w:r>
        <w:rPr>
          <w:rFonts w:hint="eastAsia" w:ascii="宋体" w:hAnsi="宋体"/>
          <w:lang w:eastAsia="zh-CN"/>
        </w:rPr>
        <w:t>供应商</w:t>
      </w:r>
      <w:r>
        <w:rPr>
          <w:rFonts w:hint="eastAsia" w:ascii="宋体" w:hAnsi="宋体"/>
        </w:rPr>
        <w:t>编制出厂验收大纲，监理审核确认。</w:t>
      </w:r>
    </w:p>
    <w:p w14:paraId="47AE8A58">
      <w:pPr>
        <w:spacing w:line="360" w:lineRule="auto"/>
        <w:ind w:firstLine="560"/>
        <w:rPr>
          <w:rFonts w:hint="eastAsia" w:ascii="宋体" w:hAnsi="宋体"/>
        </w:rPr>
      </w:pPr>
      <w:r>
        <w:rPr>
          <w:rFonts w:hint="eastAsia" w:ascii="宋体" w:hAnsi="宋体"/>
        </w:rPr>
        <w:t>（4）招标人在</w:t>
      </w:r>
      <w:r>
        <w:rPr>
          <w:rFonts w:hint="eastAsia" w:ascii="宋体" w:hAnsi="宋体"/>
          <w:lang w:eastAsia="zh-CN"/>
        </w:rPr>
        <w:t>供应商</w:t>
      </w:r>
      <w:r>
        <w:rPr>
          <w:rFonts w:hint="eastAsia" w:ascii="宋体" w:hAnsi="宋体"/>
        </w:rPr>
        <w:t>厂家所做的出厂质量检验和测试，不能替代供货运输后的到货检验和验收；招标人的签字不免除</w:t>
      </w:r>
      <w:r>
        <w:rPr>
          <w:rFonts w:hint="eastAsia" w:ascii="宋体" w:hAnsi="宋体"/>
          <w:lang w:eastAsia="zh-CN"/>
        </w:rPr>
        <w:t>供应商</w:t>
      </w:r>
      <w:r>
        <w:rPr>
          <w:rFonts w:hint="eastAsia" w:ascii="宋体" w:hAnsi="宋体"/>
        </w:rPr>
        <w:t>对产品质量的最终责任。</w:t>
      </w:r>
    </w:p>
    <w:p w14:paraId="0DFE3733">
      <w:pPr>
        <w:spacing w:line="360" w:lineRule="auto"/>
        <w:ind w:firstLine="560"/>
        <w:rPr>
          <w:rFonts w:hint="eastAsia" w:ascii="宋体" w:hAnsi="宋体"/>
        </w:rPr>
      </w:pPr>
      <w:r>
        <w:rPr>
          <w:rFonts w:hint="eastAsia" w:ascii="宋体" w:hAnsi="宋体"/>
        </w:rPr>
        <w:t>（5）设备出厂验收主要内容包括（但不限于）：</w:t>
      </w:r>
    </w:p>
    <w:p w14:paraId="6C986236">
      <w:pPr>
        <w:spacing w:line="360" w:lineRule="auto"/>
        <w:ind w:firstLine="560"/>
        <w:rPr>
          <w:rFonts w:hint="eastAsia" w:ascii="宋体" w:hAnsi="宋体"/>
        </w:rPr>
      </w:pPr>
      <w:r>
        <w:rPr>
          <w:rFonts w:hint="eastAsia" w:ascii="宋体" w:hAnsi="宋体"/>
        </w:rPr>
        <w:t>①审查生产图纸及重要工艺文件说明、设备生产质量检验文件、按合同和相关技术标准所提供的技术文件、关键质量问题解决记录等；</w:t>
      </w:r>
    </w:p>
    <w:p w14:paraId="2CFCA4C9">
      <w:pPr>
        <w:spacing w:line="360" w:lineRule="auto"/>
        <w:ind w:firstLine="560"/>
        <w:rPr>
          <w:rFonts w:hint="eastAsia" w:ascii="宋体" w:hAnsi="宋体"/>
        </w:rPr>
      </w:pPr>
      <w:r>
        <w:rPr>
          <w:rFonts w:hint="eastAsia" w:ascii="宋体" w:hAnsi="宋体"/>
        </w:rPr>
        <w:t>②审查主要材料、外购件的原生产单位出厂检验报告；</w:t>
      </w:r>
    </w:p>
    <w:p w14:paraId="734A6D89">
      <w:pPr>
        <w:spacing w:line="360" w:lineRule="auto"/>
        <w:ind w:firstLine="560"/>
        <w:rPr>
          <w:rFonts w:hint="eastAsia" w:ascii="宋体" w:hAnsi="宋体"/>
        </w:rPr>
      </w:pPr>
      <w:r>
        <w:rPr>
          <w:rFonts w:hint="eastAsia" w:ascii="宋体" w:hAnsi="宋体"/>
        </w:rPr>
        <w:t>③检查设备的外观情况、外形及安装尺寸；</w:t>
      </w:r>
    </w:p>
    <w:p w14:paraId="09591BA8">
      <w:pPr>
        <w:spacing w:line="360" w:lineRule="auto"/>
        <w:ind w:firstLine="560"/>
        <w:rPr>
          <w:rFonts w:hint="eastAsia" w:ascii="宋体" w:hAnsi="宋体"/>
        </w:rPr>
      </w:pPr>
      <w:r>
        <w:rPr>
          <w:rFonts w:hint="eastAsia" w:ascii="宋体" w:hAnsi="宋体"/>
        </w:rPr>
        <w:t>④招标人认为必要的内容。</w:t>
      </w:r>
    </w:p>
    <w:p w14:paraId="3A86AB50">
      <w:pPr>
        <w:spacing w:line="360" w:lineRule="auto"/>
        <w:ind w:firstLine="560"/>
        <w:rPr>
          <w:rFonts w:hint="eastAsia" w:ascii="宋体" w:hAnsi="宋体"/>
        </w:rPr>
      </w:pPr>
      <w:r>
        <w:rPr>
          <w:rFonts w:hint="eastAsia" w:ascii="宋体" w:hAnsi="宋体"/>
        </w:rPr>
        <w:t>（6）设备出厂时应备有完整的测试记录和出厂合格证书。</w:t>
      </w:r>
    </w:p>
    <w:p w14:paraId="5B66E724">
      <w:pPr>
        <w:spacing w:line="360" w:lineRule="auto"/>
        <w:ind w:firstLine="560"/>
        <w:rPr>
          <w:rFonts w:hint="eastAsia" w:ascii="宋体" w:hAnsi="宋体"/>
        </w:rPr>
      </w:pPr>
      <w:r>
        <w:rPr>
          <w:rFonts w:hint="eastAsia" w:ascii="宋体" w:hAnsi="宋体"/>
        </w:rPr>
        <w:t>（7）招标人应安排不少于5人•周到</w:t>
      </w:r>
      <w:r>
        <w:rPr>
          <w:rFonts w:hint="eastAsia" w:ascii="宋体" w:hAnsi="宋体"/>
          <w:lang w:eastAsia="zh-CN"/>
        </w:rPr>
        <w:t>供应商</w:t>
      </w:r>
      <w:r>
        <w:rPr>
          <w:rFonts w:hint="eastAsia" w:ascii="宋体" w:hAnsi="宋体"/>
        </w:rPr>
        <w:t>所在地进行设备出厂验收。招标人参加出厂验收发生的所有费用由</w:t>
      </w:r>
      <w:r>
        <w:rPr>
          <w:rFonts w:hint="eastAsia" w:ascii="宋体" w:hAnsi="宋体"/>
          <w:lang w:eastAsia="zh-CN"/>
        </w:rPr>
        <w:t>供应商</w:t>
      </w:r>
      <w:r>
        <w:rPr>
          <w:rFonts w:hint="eastAsia" w:ascii="宋体" w:hAnsi="宋体"/>
        </w:rPr>
        <w:t>承担。</w:t>
      </w:r>
    </w:p>
    <w:p w14:paraId="15BE2A12">
      <w:pPr>
        <w:widowControl/>
        <w:spacing w:line="360" w:lineRule="auto"/>
        <w:ind w:firstLine="360"/>
        <w:jc w:val="left"/>
        <w:outlineLvl w:val="1"/>
        <w:rPr>
          <w:rFonts w:hint="eastAsia" w:ascii="宋体" w:hAnsi="宋体"/>
        </w:rPr>
      </w:pPr>
      <w:bookmarkStart w:id="121" w:name="_Toc31835"/>
      <w:bookmarkStart w:id="122" w:name="_Toc38273409"/>
      <w:bookmarkStart w:id="123" w:name="_Toc8945"/>
      <w:bookmarkStart w:id="124" w:name="_Toc2948"/>
      <w:bookmarkStart w:id="125" w:name="_Toc3045"/>
      <w:bookmarkStart w:id="126" w:name="_Toc15294"/>
      <w:bookmarkStart w:id="127" w:name="_Toc23635"/>
      <w:bookmarkStart w:id="128" w:name="_Toc5112185"/>
      <w:r>
        <w:rPr>
          <w:rFonts w:hint="eastAsia" w:ascii="宋体" w:hAnsi="宋体"/>
        </w:rPr>
        <w:t>9.4包装、运输和仓储</w:t>
      </w:r>
      <w:bookmarkEnd w:id="121"/>
      <w:bookmarkEnd w:id="122"/>
      <w:bookmarkEnd w:id="123"/>
      <w:bookmarkEnd w:id="124"/>
      <w:bookmarkEnd w:id="125"/>
      <w:bookmarkEnd w:id="126"/>
      <w:bookmarkEnd w:id="127"/>
      <w:bookmarkEnd w:id="128"/>
    </w:p>
    <w:p w14:paraId="3B60ADC9">
      <w:pPr>
        <w:spacing w:line="360" w:lineRule="auto"/>
        <w:ind w:firstLine="560"/>
        <w:rPr>
          <w:rFonts w:hint="eastAsia" w:ascii="宋体" w:hAnsi="宋体"/>
        </w:rPr>
      </w:pPr>
      <w:r>
        <w:rPr>
          <w:rFonts w:hint="eastAsia" w:ascii="宋体" w:hAnsi="宋体"/>
        </w:rPr>
        <w:t>1.包装</w:t>
      </w:r>
    </w:p>
    <w:p w14:paraId="06F7C92C">
      <w:pPr>
        <w:spacing w:line="360" w:lineRule="auto"/>
        <w:ind w:firstLine="560"/>
        <w:rPr>
          <w:rFonts w:hint="eastAsia" w:ascii="宋体" w:hAnsi="宋体"/>
        </w:rPr>
      </w:pPr>
      <w:r>
        <w:rPr>
          <w:rFonts w:hint="eastAsia" w:ascii="宋体" w:hAnsi="宋体"/>
        </w:rPr>
        <w:t>（1）</w:t>
      </w:r>
      <w:r>
        <w:rPr>
          <w:rFonts w:hint="eastAsia" w:ascii="宋体" w:hAnsi="宋体"/>
          <w:lang w:eastAsia="zh-CN"/>
        </w:rPr>
        <w:t>供应商</w:t>
      </w:r>
      <w:r>
        <w:rPr>
          <w:rFonts w:hint="eastAsia" w:ascii="宋体" w:hAnsi="宋体"/>
        </w:rPr>
        <w:t>应提供其合同项下约定的所有产品的包装，确保设备安全无损坏运抵项目现场。由于包装不善所引起的设备锈蚀、损坏和损失等均由</w:t>
      </w:r>
      <w:r>
        <w:rPr>
          <w:rFonts w:hint="eastAsia" w:ascii="宋体" w:hAnsi="宋体"/>
          <w:lang w:eastAsia="zh-CN"/>
        </w:rPr>
        <w:t>供应商</w:t>
      </w:r>
      <w:r>
        <w:rPr>
          <w:rFonts w:hint="eastAsia" w:ascii="宋体" w:hAnsi="宋体"/>
        </w:rPr>
        <w:t>负责。所有包装必须符合国家标准的要求。</w:t>
      </w:r>
    </w:p>
    <w:p w14:paraId="6AED4598">
      <w:pPr>
        <w:spacing w:line="360" w:lineRule="auto"/>
        <w:ind w:firstLine="560"/>
        <w:rPr>
          <w:rFonts w:hint="eastAsia" w:ascii="宋体" w:hAnsi="宋体"/>
        </w:rPr>
      </w:pPr>
      <w:r>
        <w:rPr>
          <w:rFonts w:hint="eastAsia" w:ascii="宋体" w:hAnsi="宋体"/>
        </w:rPr>
        <w:t>（2）备品备件和检测维修工具应与设备分开包装。箱盒应适于储存，储存年限应在包装上予以说明。所有备品备件应加上标签，以便快速辨认。</w:t>
      </w:r>
    </w:p>
    <w:p w14:paraId="2B93C34B">
      <w:pPr>
        <w:spacing w:line="360" w:lineRule="auto"/>
        <w:ind w:firstLine="560"/>
        <w:rPr>
          <w:rFonts w:hint="eastAsia" w:ascii="宋体" w:hAnsi="宋体"/>
        </w:rPr>
      </w:pPr>
      <w:r>
        <w:rPr>
          <w:rFonts w:hint="eastAsia" w:ascii="宋体" w:hAnsi="宋体"/>
        </w:rPr>
        <w:t>（3）设备均独立包装，每个包装箱内的零部件必须是同一台设备的。</w:t>
      </w:r>
    </w:p>
    <w:p w14:paraId="5EB7DD73">
      <w:pPr>
        <w:spacing w:line="360" w:lineRule="auto"/>
        <w:ind w:firstLine="560"/>
        <w:rPr>
          <w:rFonts w:hint="eastAsia" w:ascii="宋体" w:hAnsi="宋体"/>
        </w:rPr>
      </w:pPr>
      <w:r>
        <w:rPr>
          <w:rFonts w:hint="eastAsia" w:ascii="宋体" w:hAnsi="宋体"/>
        </w:rPr>
        <w:t>（4）设备到达现场后</w:t>
      </w:r>
      <w:r>
        <w:rPr>
          <w:rFonts w:hint="eastAsia" w:ascii="宋体" w:hAnsi="宋体"/>
          <w:lang w:eastAsia="zh-CN"/>
        </w:rPr>
        <w:t>供应商</w:t>
      </w:r>
      <w:r>
        <w:rPr>
          <w:rFonts w:hint="eastAsia" w:ascii="宋体" w:hAnsi="宋体"/>
        </w:rPr>
        <w:t>应设置可靠的防雨措施，并保证设备零部件在露天堆存6个月、无空调、无除湿设备的仓库储存条件下室内堆存12个月不发生锈蚀、变质、损坏。</w:t>
      </w:r>
    </w:p>
    <w:p w14:paraId="4EB77060">
      <w:pPr>
        <w:spacing w:line="360" w:lineRule="auto"/>
        <w:ind w:firstLine="560"/>
        <w:rPr>
          <w:rFonts w:hint="eastAsia" w:ascii="宋体" w:hAnsi="宋体"/>
        </w:rPr>
      </w:pPr>
      <w:r>
        <w:rPr>
          <w:rFonts w:hint="eastAsia" w:ascii="宋体" w:hAnsi="宋体"/>
        </w:rPr>
        <w:t>（5）设备包装箱内附有该设备详细的装箱单和随机文件2份。装箱单和随机文件均做防水处理后可靠牢固地固定在包装箱内易于发现的部位。</w:t>
      </w:r>
    </w:p>
    <w:p w14:paraId="6E5EE66B">
      <w:pPr>
        <w:spacing w:line="360" w:lineRule="auto"/>
        <w:ind w:firstLine="560"/>
        <w:rPr>
          <w:rFonts w:hint="eastAsia" w:ascii="宋体" w:hAnsi="宋体"/>
        </w:rPr>
      </w:pPr>
      <w:r>
        <w:rPr>
          <w:rFonts w:hint="eastAsia" w:ascii="宋体" w:hAnsi="宋体"/>
        </w:rPr>
        <w:t>（6）包装箱四个侧面应有醒目的运输标记。采用适当的标志（如：“小心轻放”、“勿倒置”、“防潮”“重心”和“吊装点”）等，以在运输、装卸和搬运中妥善的保护货物。</w:t>
      </w:r>
    </w:p>
    <w:p w14:paraId="49BA8504">
      <w:pPr>
        <w:spacing w:line="360" w:lineRule="auto"/>
        <w:ind w:firstLine="560"/>
        <w:rPr>
          <w:rFonts w:hint="eastAsia" w:ascii="宋体" w:hAnsi="宋体"/>
        </w:rPr>
      </w:pPr>
      <w:r>
        <w:rPr>
          <w:rFonts w:hint="eastAsia" w:ascii="宋体" w:hAnsi="宋体"/>
        </w:rPr>
        <w:t>（7）包装箱外应清晰、牢固、醒目地注明合同号、收货人、设备名称及编号、毛重、净重、包装箱轮廓尺寸以及用通用方式标明吊装重心。</w:t>
      </w:r>
    </w:p>
    <w:p w14:paraId="138DC4E5">
      <w:pPr>
        <w:spacing w:line="360" w:lineRule="auto"/>
        <w:ind w:firstLine="560"/>
        <w:rPr>
          <w:rFonts w:hint="eastAsia" w:ascii="宋体" w:hAnsi="宋体"/>
        </w:rPr>
      </w:pPr>
      <w:r>
        <w:rPr>
          <w:rFonts w:hint="eastAsia" w:ascii="宋体" w:hAnsi="宋体"/>
        </w:rPr>
        <w:t>2.运输</w:t>
      </w:r>
    </w:p>
    <w:p w14:paraId="40C741E2">
      <w:pPr>
        <w:spacing w:line="360" w:lineRule="auto"/>
        <w:ind w:firstLine="560"/>
        <w:rPr>
          <w:rFonts w:hint="eastAsia" w:ascii="宋体" w:hAnsi="宋体"/>
        </w:rPr>
      </w:pPr>
      <w:r>
        <w:rPr>
          <w:rFonts w:hint="eastAsia" w:ascii="宋体" w:hAnsi="宋体"/>
        </w:rPr>
        <w:t>（1）</w:t>
      </w:r>
      <w:r>
        <w:rPr>
          <w:rFonts w:hint="eastAsia" w:ascii="宋体" w:hAnsi="宋体"/>
          <w:lang w:eastAsia="zh-CN"/>
        </w:rPr>
        <w:t>供应商</w:t>
      </w:r>
      <w:r>
        <w:rPr>
          <w:rFonts w:hint="eastAsia" w:ascii="宋体" w:hAnsi="宋体"/>
        </w:rPr>
        <w:t>应负责其合同约定的所有产品至安装现场的运输并支付运费和保险费，以确保按照合同规定的供货期供货。运输过程中所发生的锈蚀、损坏、丢失均由</w:t>
      </w:r>
      <w:r>
        <w:rPr>
          <w:rFonts w:hint="eastAsia" w:ascii="宋体" w:hAnsi="宋体"/>
          <w:lang w:eastAsia="zh-CN"/>
        </w:rPr>
        <w:t>供应商</w:t>
      </w:r>
      <w:r>
        <w:rPr>
          <w:rFonts w:hint="eastAsia" w:ascii="宋体" w:hAnsi="宋体"/>
        </w:rPr>
        <w:t>承担。</w:t>
      </w:r>
    </w:p>
    <w:p w14:paraId="373759E3">
      <w:pPr>
        <w:spacing w:line="360" w:lineRule="auto"/>
        <w:ind w:firstLine="560"/>
        <w:rPr>
          <w:rFonts w:hint="eastAsia" w:ascii="宋体" w:hAnsi="宋体"/>
        </w:rPr>
      </w:pPr>
      <w:r>
        <w:rPr>
          <w:rFonts w:hint="eastAsia" w:ascii="宋体" w:hAnsi="宋体"/>
        </w:rPr>
        <w:t>（2）依照工程进度，</w:t>
      </w:r>
      <w:r>
        <w:rPr>
          <w:rFonts w:hint="eastAsia" w:ascii="宋体" w:hAnsi="宋体"/>
          <w:lang w:eastAsia="zh-CN"/>
        </w:rPr>
        <w:t>供应商</w:t>
      </w:r>
      <w:r>
        <w:rPr>
          <w:rFonts w:hint="eastAsia" w:ascii="宋体" w:hAnsi="宋体"/>
        </w:rPr>
        <w:t>应将所有设备及零配件运抵安装地点（包括装卸），所需之一切安装工具，运输设备由</w:t>
      </w:r>
      <w:r>
        <w:rPr>
          <w:rFonts w:hint="eastAsia" w:ascii="宋体" w:hAnsi="宋体"/>
          <w:lang w:eastAsia="zh-CN"/>
        </w:rPr>
        <w:t>供应商</w:t>
      </w:r>
      <w:r>
        <w:rPr>
          <w:rFonts w:hint="eastAsia" w:ascii="宋体" w:hAnsi="宋体"/>
        </w:rPr>
        <w:t>负责，并在运输前一周将详细设备清单及运输方案报招标人。</w:t>
      </w:r>
    </w:p>
    <w:p w14:paraId="61802AAF">
      <w:pPr>
        <w:spacing w:line="360" w:lineRule="auto"/>
        <w:ind w:firstLine="560"/>
        <w:rPr>
          <w:rFonts w:hint="eastAsia" w:ascii="宋体" w:hAnsi="宋体"/>
        </w:rPr>
      </w:pPr>
      <w:r>
        <w:rPr>
          <w:rFonts w:hint="eastAsia" w:ascii="宋体" w:hAnsi="宋体"/>
        </w:rPr>
        <w:t>（3）</w:t>
      </w:r>
      <w:r>
        <w:rPr>
          <w:rFonts w:hint="eastAsia" w:ascii="宋体" w:hAnsi="宋体"/>
          <w:lang w:eastAsia="zh-CN"/>
        </w:rPr>
        <w:t>供应商</w:t>
      </w:r>
      <w:r>
        <w:rPr>
          <w:rFonts w:hint="eastAsia" w:ascii="宋体" w:hAnsi="宋体"/>
        </w:rPr>
        <w:t>应对本项目设备的运输及现场运输条件等进行核查，投标前可自行对本项目作调研和考察，充分了解设备在本项目实施中可能遇到的具体实际问题，对今后可能产生的难点以及将发生的费用充分估计，计入本次投标报价中。中标后出现此类变动情况，价格不得调整。</w:t>
      </w:r>
    </w:p>
    <w:p w14:paraId="0CF277E2">
      <w:pPr>
        <w:spacing w:line="360" w:lineRule="auto"/>
        <w:ind w:firstLine="560"/>
        <w:rPr>
          <w:rFonts w:hint="eastAsia" w:ascii="宋体" w:hAnsi="宋体"/>
        </w:rPr>
      </w:pPr>
      <w:r>
        <w:rPr>
          <w:rFonts w:hint="eastAsia" w:ascii="宋体" w:hAnsi="宋体"/>
        </w:rPr>
        <w:t>3.到货检查和开箱检验</w:t>
      </w:r>
    </w:p>
    <w:p w14:paraId="4CEDD9B0">
      <w:pPr>
        <w:spacing w:line="360" w:lineRule="auto"/>
        <w:ind w:firstLine="560"/>
        <w:rPr>
          <w:rFonts w:hint="eastAsia" w:ascii="宋体" w:hAnsi="宋体"/>
        </w:rPr>
      </w:pPr>
      <w:r>
        <w:rPr>
          <w:rFonts w:hint="eastAsia" w:ascii="宋体" w:hAnsi="宋体"/>
        </w:rPr>
        <w:t>（1）设备运输到交货地点时要进行到货检查和开箱检验，到货检查和开箱检验由监理组织，招标人和</w:t>
      </w:r>
      <w:r>
        <w:rPr>
          <w:rFonts w:hint="eastAsia" w:ascii="宋体" w:hAnsi="宋体"/>
          <w:lang w:eastAsia="zh-CN"/>
        </w:rPr>
        <w:t>供应商</w:t>
      </w:r>
      <w:r>
        <w:rPr>
          <w:rFonts w:hint="eastAsia" w:ascii="宋体" w:hAnsi="宋体"/>
        </w:rPr>
        <w:t>参加（招标人也可不参加）。到货检查和开箱检验合格，并不意味着免除</w:t>
      </w:r>
      <w:r>
        <w:rPr>
          <w:rFonts w:hint="eastAsia" w:ascii="宋体" w:hAnsi="宋体"/>
          <w:lang w:eastAsia="zh-CN"/>
        </w:rPr>
        <w:t>供应商</w:t>
      </w:r>
      <w:r>
        <w:rPr>
          <w:rFonts w:hint="eastAsia" w:ascii="宋体" w:hAnsi="宋体"/>
        </w:rPr>
        <w:t>对货物质量的最终责任。检查的内容主要包括（但不限于）：</w:t>
      </w:r>
    </w:p>
    <w:p w14:paraId="5BC524CE">
      <w:pPr>
        <w:spacing w:line="360" w:lineRule="auto"/>
        <w:ind w:firstLine="560"/>
        <w:rPr>
          <w:rFonts w:hint="eastAsia" w:ascii="宋体" w:hAnsi="宋体"/>
        </w:rPr>
      </w:pPr>
      <w:r>
        <w:rPr>
          <w:rFonts w:hint="eastAsia" w:ascii="宋体" w:hAnsi="宋体"/>
        </w:rPr>
        <w:t>1）满足合同对包装的要求；</w:t>
      </w:r>
    </w:p>
    <w:p w14:paraId="3521D3F2">
      <w:pPr>
        <w:spacing w:line="360" w:lineRule="auto"/>
        <w:ind w:firstLine="560"/>
        <w:rPr>
          <w:rFonts w:hint="eastAsia" w:ascii="宋体" w:hAnsi="宋体"/>
        </w:rPr>
      </w:pPr>
      <w:r>
        <w:rPr>
          <w:rFonts w:hint="eastAsia" w:ascii="宋体" w:hAnsi="宋体"/>
        </w:rPr>
        <w:t>2）外观良好，运输途中未受损；</w:t>
      </w:r>
    </w:p>
    <w:p w14:paraId="6DCCADF9">
      <w:pPr>
        <w:spacing w:line="360" w:lineRule="auto"/>
        <w:ind w:firstLine="560"/>
        <w:rPr>
          <w:rFonts w:hint="eastAsia" w:ascii="宋体" w:hAnsi="宋体"/>
        </w:rPr>
      </w:pPr>
      <w:r>
        <w:rPr>
          <w:rFonts w:hint="eastAsia" w:ascii="宋体" w:hAnsi="宋体"/>
        </w:rPr>
        <w:t>3）编号、数量和名称与到货清单吻合。</w:t>
      </w:r>
    </w:p>
    <w:p w14:paraId="603B1919">
      <w:pPr>
        <w:spacing w:line="360" w:lineRule="auto"/>
        <w:ind w:firstLine="560"/>
        <w:rPr>
          <w:rFonts w:hint="eastAsia" w:ascii="宋体" w:hAnsi="宋体"/>
        </w:rPr>
      </w:pPr>
      <w:r>
        <w:rPr>
          <w:rFonts w:hint="eastAsia" w:ascii="宋体" w:hAnsi="宋体"/>
        </w:rPr>
        <w:t>2）在到货检查和开箱检验通过后及时签署《设备到货和开箱检验记录表》，如发现短缺或损坏，则只有在10日内将这些短缺或损坏补齐、更换、或修理合格后，才视为到货检查通过。</w:t>
      </w:r>
    </w:p>
    <w:p w14:paraId="563EC6CC">
      <w:pPr>
        <w:spacing w:line="360" w:lineRule="auto"/>
        <w:ind w:firstLine="560"/>
        <w:rPr>
          <w:rFonts w:hint="eastAsia" w:ascii="宋体" w:hAnsi="宋体"/>
        </w:rPr>
      </w:pPr>
      <w:r>
        <w:rPr>
          <w:rFonts w:hint="eastAsia" w:ascii="宋体" w:hAnsi="宋体"/>
        </w:rPr>
        <w:t>4.仓储</w:t>
      </w:r>
    </w:p>
    <w:p w14:paraId="415D5D78">
      <w:pPr>
        <w:spacing w:line="360" w:lineRule="auto"/>
        <w:ind w:firstLine="560"/>
        <w:rPr>
          <w:rFonts w:hint="eastAsia" w:ascii="宋体" w:hAnsi="宋体"/>
        </w:rPr>
      </w:pPr>
      <w:r>
        <w:rPr>
          <w:rFonts w:hint="eastAsia" w:ascii="宋体" w:hAnsi="宋体"/>
        </w:rPr>
        <w:t>设备、材料的仓储完全由</w:t>
      </w:r>
      <w:r>
        <w:rPr>
          <w:rFonts w:hint="eastAsia" w:ascii="宋体" w:hAnsi="宋体"/>
          <w:lang w:eastAsia="zh-CN"/>
        </w:rPr>
        <w:t>供应商</w:t>
      </w:r>
      <w:r>
        <w:rPr>
          <w:rFonts w:hint="eastAsia" w:ascii="宋体" w:hAnsi="宋体"/>
        </w:rPr>
        <w:t>负责。要求</w:t>
      </w:r>
      <w:r>
        <w:rPr>
          <w:rFonts w:hint="eastAsia" w:ascii="宋体" w:hAnsi="宋体"/>
          <w:lang w:eastAsia="zh-CN"/>
        </w:rPr>
        <w:t>供应商</w:t>
      </w:r>
      <w:r>
        <w:rPr>
          <w:rFonts w:hint="eastAsia" w:ascii="宋体" w:hAnsi="宋体"/>
        </w:rPr>
        <w:t>在招标人所在地具备临时仓储设备的条件，并满足工程进度需要。仓储费用由</w:t>
      </w:r>
      <w:r>
        <w:rPr>
          <w:rFonts w:hint="eastAsia" w:ascii="宋体" w:hAnsi="宋体"/>
          <w:lang w:eastAsia="zh-CN"/>
        </w:rPr>
        <w:t>供应商</w:t>
      </w:r>
      <w:r>
        <w:rPr>
          <w:rFonts w:hint="eastAsia" w:ascii="宋体" w:hAnsi="宋体"/>
        </w:rPr>
        <w:t>承担。</w:t>
      </w:r>
    </w:p>
    <w:p w14:paraId="35D7AADF">
      <w:pPr>
        <w:widowControl/>
        <w:spacing w:line="360" w:lineRule="auto"/>
        <w:ind w:firstLine="360"/>
        <w:jc w:val="left"/>
        <w:outlineLvl w:val="1"/>
        <w:rPr>
          <w:rFonts w:hint="eastAsia" w:ascii="宋体" w:hAnsi="宋体"/>
        </w:rPr>
      </w:pPr>
      <w:bookmarkStart w:id="129" w:name="_Toc8959"/>
      <w:bookmarkStart w:id="130" w:name="_Toc38273410"/>
      <w:bookmarkStart w:id="131" w:name="_Toc10559"/>
      <w:bookmarkStart w:id="132" w:name="_Toc10045"/>
      <w:bookmarkStart w:id="133" w:name="_Toc23284"/>
      <w:bookmarkStart w:id="134" w:name="_Toc19001"/>
      <w:bookmarkStart w:id="135" w:name="_Toc31126"/>
      <w:bookmarkStart w:id="136" w:name="_Toc5112186"/>
      <w:r>
        <w:rPr>
          <w:rFonts w:hint="eastAsia" w:ascii="宋体" w:hAnsi="宋体"/>
        </w:rPr>
        <w:t>9.5施工安装</w:t>
      </w:r>
      <w:bookmarkEnd w:id="129"/>
      <w:bookmarkEnd w:id="130"/>
      <w:bookmarkEnd w:id="131"/>
      <w:bookmarkEnd w:id="132"/>
      <w:bookmarkEnd w:id="133"/>
      <w:bookmarkEnd w:id="134"/>
      <w:bookmarkEnd w:id="135"/>
      <w:bookmarkEnd w:id="136"/>
    </w:p>
    <w:p w14:paraId="2DC30488">
      <w:pPr>
        <w:spacing w:line="360" w:lineRule="auto"/>
        <w:ind w:firstLine="560"/>
        <w:rPr>
          <w:rFonts w:hint="eastAsia" w:ascii="宋体" w:hAnsi="宋体"/>
        </w:rPr>
      </w:pPr>
      <w:r>
        <w:rPr>
          <w:rFonts w:hint="eastAsia" w:ascii="宋体" w:hAnsi="宋体"/>
        </w:rPr>
        <w:t>1.施工安装工程相关要求</w:t>
      </w:r>
    </w:p>
    <w:p w14:paraId="2D918EE1">
      <w:pPr>
        <w:spacing w:line="360" w:lineRule="auto"/>
        <w:ind w:firstLine="560"/>
        <w:rPr>
          <w:rFonts w:hint="eastAsia" w:ascii="宋体" w:hAnsi="宋体"/>
        </w:rPr>
      </w:pPr>
      <w:r>
        <w:rPr>
          <w:rFonts w:hint="eastAsia" w:ascii="宋体" w:hAnsi="宋体"/>
        </w:rPr>
        <w:t>（1）一般要求</w:t>
      </w:r>
    </w:p>
    <w:p w14:paraId="44230D6D">
      <w:pPr>
        <w:spacing w:line="360" w:lineRule="auto"/>
        <w:ind w:firstLine="560"/>
        <w:rPr>
          <w:rFonts w:hint="eastAsia" w:ascii="宋体" w:hAnsi="宋体"/>
        </w:rPr>
      </w:pPr>
      <w:r>
        <w:rPr>
          <w:rFonts w:hint="eastAsia" w:ascii="宋体" w:hAnsi="宋体"/>
        </w:rPr>
        <w:t>1）本工程的施工安装以招标文件和中国现行规范与标准为准。</w:t>
      </w:r>
    </w:p>
    <w:p w14:paraId="0FC6F793">
      <w:pPr>
        <w:spacing w:line="360" w:lineRule="auto"/>
        <w:ind w:firstLine="560"/>
        <w:rPr>
          <w:rFonts w:hint="eastAsia" w:ascii="宋体" w:hAnsi="宋体"/>
        </w:rPr>
      </w:pPr>
      <w:r>
        <w:rPr>
          <w:rFonts w:hint="eastAsia" w:ascii="宋体" w:hAnsi="宋体"/>
        </w:rPr>
        <w:t>2）</w:t>
      </w:r>
      <w:r>
        <w:rPr>
          <w:rFonts w:hint="eastAsia" w:ascii="宋体" w:hAnsi="宋体"/>
          <w:lang w:eastAsia="zh-CN"/>
        </w:rPr>
        <w:t>供应商</w:t>
      </w:r>
      <w:r>
        <w:rPr>
          <w:rFonts w:hint="eastAsia" w:ascii="宋体" w:hAnsi="宋体"/>
        </w:rPr>
        <w:t>在投标时应在投标文件提供安装技术方案。</w:t>
      </w:r>
    </w:p>
    <w:p w14:paraId="5F14883C">
      <w:pPr>
        <w:spacing w:line="360" w:lineRule="auto"/>
        <w:ind w:firstLine="560"/>
        <w:rPr>
          <w:rFonts w:hint="eastAsia" w:ascii="宋体" w:hAnsi="宋体"/>
        </w:rPr>
      </w:pPr>
      <w:r>
        <w:rPr>
          <w:rFonts w:hint="eastAsia" w:ascii="宋体" w:hAnsi="宋体"/>
        </w:rPr>
        <w:t>（2）现场勘查与安装图纸的确认</w:t>
      </w:r>
    </w:p>
    <w:p w14:paraId="31BB4ABA">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负责在安装之前，应对土建基础进行检查，无误后开展安装工作。严格认真做好设备安装前的准备工作，对现场的安装条件进行勘查和确认，认真与施工图纸进行核实。如发现问题应及时向监理工程师反映，并确认整改结果，保证设备安装的顺利进行。如果由于</w:t>
      </w:r>
      <w:r>
        <w:rPr>
          <w:rFonts w:hint="eastAsia" w:ascii="宋体" w:hAnsi="宋体"/>
          <w:lang w:eastAsia="zh-CN"/>
        </w:rPr>
        <w:t>供应商</w:t>
      </w:r>
      <w:r>
        <w:rPr>
          <w:rFonts w:hint="eastAsia" w:ascii="宋体" w:hAnsi="宋体"/>
        </w:rPr>
        <w:t>的接口要求及检验失误，造成工期延误，而导致</w:t>
      </w:r>
      <w:r>
        <w:rPr>
          <w:rFonts w:hint="eastAsia" w:ascii="宋体" w:hAnsi="宋体"/>
          <w:lang w:eastAsia="zh-CN"/>
        </w:rPr>
        <w:t>供应商</w:t>
      </w:r>
      <w:r>
        <w:rPr>
          <w:rFonts w:hint="eastAsia" w:ascii="宋体" w:hAnsi="宋体"/>
        </w:rPr>
        <w:t>额外发生的费用由</w:t>
      </w:r>
      <w:r>
        <w:rPr>
          <w:rFonts w:hint="eastAsia" w:ascii="宋体" w:hAnsi="宋体"/>
          <w:lang w:eastAsia="zh-CN"/>
        </w:rPr>
        <w:t>供应商</w:t>
      </w:r>
      <w:r>
        <w:rPr>
          <w:rFonts w:hint="eastAsia" w:ascii="宋体" w:hAnsi="宋体"/>
        </w:rPr>
        <w:t>自负，并为此引起的其它损失承担责任。</w:t>
      </w:r>
    </w:p>
    <w:p w14:paraId="792E8EBE">
      <w:pPr>
        <w:spacing w:line="360" w:lineRule="auto"/>
        <w:ind w:firstLine="560"/>
        <w:rPr>
          <w:rFonts w:hint="eastAsia" w:ascii="宋体" w:hAnsi="宋体"/>
        </w:rPr>
      </w:pPr>
      <w:r>
        <w:rPr>
          <w:rFonts w:hint="eastAsia" w:ascii="宋体" w:hAnsi="宋体"/>
        </w:rPr>
        <w:t>（3）前期工作</w:t>
      </w:r>
    </w:p>
    <w:p w14:paraId="0A2712AD">
      <w:pPr>
        <w:spacing w:line="360" w:lineRule="auto"/>
        <w:ind w:firstLine="560"/>
        <w:rPr>
          <w:rFonts w:hint="eastAsia" w:ascii="宋体" w:hAnsi="宋体"/>
        </w:rPr>
      </w:pPr>
      <w:r>
        <w:rPr>
          <w:rFonts w:hint="eastAsia" w:ascii="宋体" w:hAnsi="宋体"/>
        </w:rPr>
        <w:t>1）</w:t>
      </w:r>
      <w:r>
        <w:rPr>
          <w:rFonts w:hint="eastAsia" w:ascii="宋体" w:hAnsi="宋体"/>
          <w:lang w:eastAsia="zh-CN"/>
        </w:rPr>
        <w:t>供应商</w:t>
      </w:r>
      <w:r>
        <w:rPr>
          <w:rFonts w:hint="eastAsia" w:ascii="宋体" w:hAnsi="宋体"/>
        </w:rPr>
        <w:t>负责施工现场的防护和警示标志。</w:t>
      </w:r>
    </w:p>
    <w:p w14:paraId="18042FDF">
      <w:pPr>
        <w:spacing w:line="360" w:lineRule="auto"/>
        <w:ind w:firstLine="560"/>
        <w:rPr>
          <w:rFonts w:hint="eastAsia" w:ascii="宋体" w:hAnsi="宋体"/>
        </w:rPr>
      </w:pPr>
      <w:r>
        <w:rPr>
          <w:rFonts w:hint="eastAsia" w:ascii="宋体" w:hAnsi="宋体"/>
        </w:rPr>
        <w:t>2）临时用电、用水及施工照明的解决方案：</w:t>
      </w:r>
      <w:r>
        <w:rPr>
          <w:rFonts w:hint="eastAsia" w:ascii="宋体" w:hAnsi="宋体"/>
          <w:lang w:eastAsia="zh-CN"/>
        </w:rPr>
        <w:t>供应商</w:t>
      </w:r>
      <w:r>
        <w:rPr>
          <w:rFonts w:hint="eastAsia" w:ascii="宋体" w:hAnsi="宋体"/>
        </w:rPr>
        <w:t>自行解决临时用电、用水及施工照明的费用，招标人负责协调。</w:t>
      </w:r>
    </w:p>
    <w:p w14:paraId="73AD3A40">
      <w:pPr>
        <w:spacing w:line="360" w:lineRule="auto"/>
        <w:ind w:firstLine="560"/>
        <w:rPr>
          <w:rFonts w:hint="eastAsia" w:ascii="宋体" w:hAnsi="宋体"/>
        </w:rPr>
      </w:pPr>
      <w:r>
        <w:rPr>
          <w:rFonts w:hint="eastAsia" w:ascii="宋体" w:hAnsi="宋体"/>
        </w:rPr>
        <w:t>（4）安全文明施工</w:t>
      </w:r>
    </w:p>
    <w:p w14:paraId="57A0AAF3">
      <w:pPr>
        <w:spacing w:line="360" w:lineRule="auto"/>
        <w:ind w:firstLine="560"/>
        <w:rPr>
          <w:rFonts w:hint="eastAsia" w:ascii="宋体" w:hAnsi="宋体"/>
        </w:rPr>
      </w:pPr>
      <w:r>
        <w:rPr>
          <w:rFonts w:hint="eastAsia" w:ascii="宋体" w:hAnsi="宋体"/>
        </w:rPr>
        <w:t>安全文明施工要严格遵守国家与相关部门、黑龙江省和哈尔滨市颁布的有关安全文明施工的规定。</w:t>
      </w:r>
    </w:p>
    <w:p w14:paraId="49CB164D">
      <w:pPr>
        <w:spacing w:line="360" w:lineRule="auto"/>
        <w:ind w:firstLine="560"/>
        <w:rPr>
          <w:rFonts w:hint="eastAsia" w:ascii="宋体" w:hAnsi="宋体"/>
        </w:rPr>
      </w:pPr>
      <w:r>
        <w:rPr>
          <w:rFonts w:hint="eastAsia" w:ascii="宋体" w:hAnsi="宋体"/>
        </w:rPr>
        <w:t>1）一般规定</w:t>
      </w:r>
    </w:p>
    <w:p w14:paraId="0F2362A4">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应对医疗与卫生、安全与消防、路面运输、垂直运输、轨行区运输、现场工作环境、防尘、防水、排水、防止被坠落物或其他施工人员由于操作不当造成的意外损伤等问题进行调查。</w:t>
      </w:r>
    </w:p>
    <w:p w14:paraId="5B8BD8CF">
      <w:pPr>
        <w:spacing w:line="360" w:lineRule="auto"/>
        <w:ind w:firstLine="560"/>
        <w:rPr>
          <w:rFonts w:hint="eastAsia" w:ascii="宋体" w:hAnsi="宋体"/>
        </w:rPr>
      </w:pPr>
      <w:r>
        <w:rPr>
          <w:rFonts w:hint="eastAsia" w:ascii="宋体" w:hAnsi="宋体"/>
        </w:rPr>
        <w:t>2）消防设施</w:t>
      </w:r>
    </w:p>
    <w:p w14:paraId="1F0975FC">
      <w:pPr>
        <w:spacing w:line="360" w:lineRule="auto"/>
        <w:ind w:firstLine="560"/>
        <w:rPr>
          <w:rFonts w:hint="eastAsia" w:ascii="宋体" w:hAnsi="宋体"/>
        </w:rPr>
      </w:pPr>
      <w:r>
        <w:rPr>
          <w:rFonts w:hint="eastAsia" w:ascii="宋体" w:hAnsi="宋体"/>
        </w:rPr>
        <w:t>在合同执行期间，</w:t>
      </w:r>
      <w:r>
        <w:rPr>
          <w:rFonts w:hint="eastAsia" w:ascii="宋体" w:hAnsi="宋体"/>
          <w:lang w:eastAsia="zh-CN"/>
        </w:rPr>
        <w:t>供应商</w:t>
      </w:r>
      <w:r>
        <w:rPr>
          <w:rFonts w:hint="eastAsia" w:ascii="宋体" w:hAnsi="宋体"/>
        </w:rPr>
        <w:t>应对施工现场的临时工程与设施，以及在建的或完工的工程的火灾安全负责。</w:t>
      </w:r>
    </w:p>
    <w:p w14:paraId="490016E5">
      <w:pPr>
        <w:spacing w:line="360" w:lineRule="auto"/>
        <w:ind w:firstLine="560"/>
        <w:rPr>
          <w:rFonts w:hint="eastAsia" w:ascii="宋体" w:hAnsi="宋体"/>
        </w:rPr>
      </w:pPr>
      <w:r>
        <w:rPr>
          <w:rFonts w:hint="eastAsia" w:ascii="宋体" w:hAnsi="宋体"/>
        </w:rPr>
        <w:t>3）安全与保卫</w:t>
      </w:r>
    </w:p>
    <w:p w14:paraId="237B1A92">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在合同执行期间，应组织提供适当数量的保安人员，负责工程及施工物资、机械装备、施工人员和施工现场的安全保卫工作，并配备足够的施工照明和围挡设施；该项保卫工作，在夜间及节假日时也应是不间断的。</w:t>
      </w:r>
    </w:p>
    <w:p w14:paraId="44B7228A">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的所有雇员和代表必须遵守车辆基地相关管理规定。</w:t>
      </w:r>
    </w:p>
    <w:p w14:paraId="40B4D742">
      <w:pPr>
        <w:spacing w:line="360" w:lineRule="auto"/>
        <w:ind w:firstLine="560"/>
        <w:rPr>
          <w:rFonts w:hint="eastAsia" w:ascii="宋体" w:hAnsi="宋体"/>
        </w:rPr>
      </w:pPr>
      <w:r>
        <w:rPr>
          <w:rFonts w:hint="eastAsia" w:ascii="宋体" w:hAnsi="宋体"/>
        </w:rPr>
        <w:t>（5）协调与接口管理</w:t>
      </w:r>
    </w:p>
    <w:p w14:paraId="74B2D19F">
      <w:pPr>
        <w:spacing w:line="360" w:lineRule="auto"/>
        <w:ind w:firstLine="560"/>
        <w:rPr>
          <w:rFonts w:hint="eastAsia" w:ascii="宋体" w:hAnsi="宋体"/>
        </w:rPr>
      </w:pPr>
      <w:r>
        <w:rPr>
          <w:rFonts w:hint="eastAsia" w:ascii="宋体" w:hAnsi="宋体"/>
        </w:rPr>
        <w:t>1）</w:t>
      </w:r>
      <w:r>
        <w:rPr>
          <w:rFonts w:hint="eastAsia" w:ascii="宋体" w:hAnsi="宋体"/>
          <w:lang w:eastAsia="zh-CN"/>
        </w:rPr>
        <w:t>供应商</w:t>
      </w:r>
      <w:r>
        <w:rPr>
          <w:rFonts w:hint="eastAsia" w:ascii="宋体" w:hAnsi="宋体"/>
        </w:rPr>
        <w:t>应清楚地估计到施工安装期间外界可能对本工程产生的各种干扰，并保证协调好这些干扰，尽最大可能避免和减少这些干扰对本工程施工安装造成的影响。</w:t>
      </w:r>
    </w:p>
    <w:p w14:paraId="0B20A804">
      <w:pPr>
        <w:spacing w:line="360" w:lineRule="auto"/>
        <w:ind w:firstLine="560"/>
        <w:rPr>
          <w:rFonts w:hint="eastAsia" w:ascii="宋体" w:hAnsi="宋体"/>
        </w:rPr>
      </w:pPr>
      <w:r>
        <w:rPr>
          <w:rFonts w:hint="eastAsia" w:ascii="宋体" w:hAnsi="宋体"/>
        </w:rPr>
        <w:t>2）编制接口管理计划，计划应明确计划项目工作范围内各项接口的管理方法，在接口管理计划的内容中，提出接口管理的方法与程序。</w:t>
      </w:r>
    </w:p>
    <w:p w14:paraId="7EDA609D">
      <w:pPr>
        <w:spacing w:line="360" w:lineRule="auto"/>
        <w:ind w:firstLine="560"/>
        <w:rPr>
          <w:rFonts w:hint="eastAsia" w:ascii="宋体" w:hAnsi="宋体"/>
        </w:rPr>
      </w:pPr>
      <w:r>
        <w:rPr>
          <w:rFonts w:hint="eastAsia" w:ascii="宋体" w:hAnsi="宋体"/>
        </w:rPr>
        <w:t>2.施工组织设计</w:t>
      </w:r>
    </w:p>
    <w:p w14:paraId="1AB96BF6">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应根据本工程的重点、难点、特点及哈尔滨地区气候等情况在设备安装施工前，按有关规定向监理单位提供施工组织设计，获得批准并获得开工令后方可施工。施工组织设计应包括但不限于以下内容：</w:t>
      </w:r>
    </w:p>
    <w:p w14:paraId="566F78D5">
      <w:pPr>
        <w:spacing w:line="360" w:lineRule="auto"/>
        <w:ind w:firstLine="560"/>
        <w:rPr>
          <w:rFonts w:hint="eastAsia" w:ascii="宋体" w:hAnsi="宋体"/>
        </w:rPr>
      </w:pPr>
      <w:r>
        <w:rPr>
          <w:rFonts w:hint="eastAsia" w:ascii="宋体" w:hAnsi="宋体"/>
        </w:rPr>
        <w:t>（1）总体概述</w:t>
      </w:r>
    </w:p>
    <w:p w14:paraId="0D7B73A0">
      <w:pPr>
        <w:spacing w:line="360" w:lineRule="auto"/>
        <w:ind w:firstLine="560"/>
        <w:rPr>
          <w:rFonts w:hint="eastAsia" w:ascii="宋体" w:hAnsi="宋体"/>
        </w:rPr>
      </w:pPr>
      <w:r>
        <w:rPr>
          <w:rFonts w:hint="eastAsia" w:ascii="宋体" w:hAnsi="宋体"/>
        </w:rPr>
        <w:t>施工程序总体设想及工作时间段划分；</w:t>
      </w:r>
    </w:p>
    <w:p w14:paraId="540F7859">
      <w:pPr>
        <w:spacing w:line="360" w:lineRule="auto"/>
        <w:ind w:firstLine="560"/>
        <w:rPr>
          <w:rFonts w:hint="eastAsia" w:ascii="宋体" w:hAnsi="宋体"/>
        </w:rPr>
      </w:pPr>
      <w:r>
        <w:rPr>
          <w:rFonts w:hint="eastAsia" w:ascii="宋体" w:hAnsi="宋体"/>
        </w:rPr>
        <w:t>（2）总体工作规划：</w:t>
      </w:r>
    </w:p>
    <w:p w14:paraId="7088C326">
      <w:pPr>
        <w:spacing w:line="360" w:lineRule="auto"/>
        <w:ind w:firstLine="560"/>
        <w:rPr>
          <w:rFonts w:hint="eastAsia" w:ascii="宋体" w:hAnsi="宋体"/>
        </w:rPr>
      </w:pPr>
      <w:r>
        <w:rPr>
          <w:rFonts w:hint="eastAsia" w:ascii="宋体" w:hAnsi="宋体"/>
        </w:rPr>
        <w:t>1）安装平面布置和临时设施布置；</w:t>
      </w:r>
    </w:p>
    <w:p w14:paraId="49B37A52">
      <w:pPr>
        <w:spacing w:line="360" w:lineRule="auto"/>
        <w:ind w:firstLine="560"/>
        <w:rPr>
          <w:rFonts w:hint="eastAsia" w:ascii="宋体" w:hAnsi="宋体"/>
        </w:rPr>
      </w:pPr>
      <w:r>
        <w:rPr>
          <w:rFonts w:hint="eastAsia" w:ascii="宋体" w:hAnsi="宋体"/>
        </w:rPr>
        <w:t>2）工作进度计划和各阶段进度的保证措施及承诺；</w:t>
      </w:r>
    </w:p>
    <w:p w14:paraId="05687CD3">
      <w:pPr>
        <w:spacing w:line="360" w:lineRule="auto"/>
        <w:ind w:firstLine="560"/>
        <w:rPr>
          <w:rFonts w:hint="eastAsia" w:ascii="宋体" w:hAnsi="宋体"/>
        </w:rPr>
      </w:pPr>
      <w:r>
        <w:rPr>
          <w:rFonts w:hint="eastAsia" w:ascii="宋体" w:hAnsi="宋体"/>
        </w:rPr>
        <w:t>3）项目管理组织机构，人力、设备（起重运输机械）投入计划及保证措施；</w:t>
      </w:r>
    </w:p>
    <w:p w14:paraId="148966BF">
      <w:pPr>
        <w:spacing w:line="360" w:lineRule="auto"/>
        <w:ind w:firstLine="560"/>
        <w:rPr>
          <w:rFonts w:hint="eastAsia" w:ascii="宋体" w:hAnsi="宋体"/>
        </w:rPr>
      </w:pPr>
      <w:r>
        <w:rPr>
          <w:rFonts w:hint="eastAsia" w:ascii="宋体" w:hAnsi="宋体"/>
        </w:rPr>
        <w:t>4）质量保证措施与承诺；</w:t>
      </w:r>
    </w:p>
    <w:p w14:paraId="76377AC9">
      <w:pPr>
        <w:spacing w:line="360" w:lineRule="auto"/>
        <w:ind w:firstLine="560"/>
        <w:rPr>
          <w:rFonts w:hint="eastAsia" w:ascii="宋体" w:hAnsi="宋体"/>
        </w:rPr>
      </w:pPr>
      <w:r>
        <w:rPr>
          <w:rFonts w:hint="eastAsia" w:ascii="宋体" w:hAnsi="宋体"/>
        </w:rPr>
        <w:t>5）安全文明施工措施及承诺；</w:t>
      </w:r>
    </w:p>
    <w:p w14:paraId="496E6336">
      <w:pPr>
        <w:spacing w:line="360" w:lineRule="auto"/>
        <w:ind w:firstLine="560"/>
        <w:rPr>
          <w:rFonts w:hint="eastAsia" w:ascii="宋体" w:hAnsi="宋体"/>
        </w:rPr>
      </w:pPr>
      <w:r>
        <w:rPr>
          <w:rFonts w:hint="eastAsia" w:ascii="宋体" w:hAnsi="宋体"/>
        </w:rPr>
        <w:t>6）突发事件应急预案；</w:t>
      </w:r>
    </w:p>
    <w:p w14:paraId="2AE0E190">
      <w:pPr>
        <w:spacing w:line="360" w:lineRule="auto"/>
        <w:ind w:firstLine="560"/>
        <w:rPr>
          <w:rFonts w:hint="eastAsia" w:ascii="宋体" w:hAnsi="宋体"/>
        </w:rPr>
      </w:pPr>
      <w:r>
        <w:rPr>
          <w:rFonts w:hint="eastAsia" w:ascii="宋体" w:hAnsi="宋体"/>
        </w:rPr>
        <w:t>7）施工现场的安全防护、防火及保护措施；</w:t>
      </w:r>
    </w:p>
    <w:p w14:paraId="103A2E14">
      <w:pPr>
        <w:spacing w:line="360" w:lineRule="auto"/>
        <w:ind w:firstLine="560"/>
        <w:rPr>
          <w:rFonts w:hint="eastAsia" w:ascii="宋体" w:hAnsi="宋体"/>
        </w:rPr>
      </w:pPr>
      <w:r>
        <w:rPr>
          <w:rFonts w:hint="eastAsia" w:ascii="宋体" w:hAnsi="宋体"/>
        </w:rPr>
        <w:t>8）临时用电、用水及施工照明的解决方案。</w:t>
      </w:r>
    </w:p>
    <w:p w14:paraId="230663CC">
      <w:pPr>
        <w:spacing w:line="360" w:lineRule="auto"/>
        <w:ind w:firstLine="560"/>
        <w:rPr>
          <w:rFonts w:hint="eastAsia" w:ascii="宋体" w:hAnsi="宋体"/>
        </w:rPr>
      </w:pPr>
      <w:r>
        <w:rPr>
          <w:rFonts w:hint="eastAsia" w:ascii="宋体" w:hAnsi="宋体"/>
        </w:rPr>
        <w:t>（3）施工方案、关键施工技术、工艺、施工重点、难点分析及解决方案：</w:t>
      </w:r>
    </w:p>
    <w:p w14:paraId="472F5B3B">
      <w:pPr>
        <w:spacing w:line="360" w:lineRule="auto"/>
        <w:ind w:firstLine="560"/>
        <w:rPr>
          <w:rFonts w:hint="eastAsia" w:ascii="宋体" w:hAnsi="宋体"/>
        </w:rPr>
      </w:pPr>
      <w:r>
        <w:rPr>
          <w:rFonts w:hint="eastAsia" w:ascii="宋体" w:hAnsi="宋体"/>
        </w:rPr>
        <w:t>1）安装方案及控制措施；</w:t>
      </w:r>
    </w:p>
    <w:p w14:paraId="7ECBC344">
      <w:pPr>
        <w:spacing w:line="360" w:lineRule="auto"/>
        <w:ind w:firstLine="560"/>
        <w:rPr>
          <w:rFonts w:hint="eastAsia" w:ascii="宋体" w:hAnsi="宋体"/>
        </w:rPr>
      </w:pPr>
      <w:r>
        <w:rPr>
          <w:rFonts w:hint="eastAsia" w:ascii="宋体" w:hAnsi="宋体"/>
        </w:rPr>
        <w:t>2）安装工程设计、运输（包括公路运输、垂直运输或轨行区运输等）、仓储、安装、现场管理、运行、维护方案；</w:t>
      </w:r>
    </w:p>
    <w:p w14:paraId="6A0F09ED">
      <w:pPr>
        <w:spacing w:line="360" w:lineRule="auto"/>
        <w:ind w:firstLine="560"/>
        <w:rPr>
          <w:rFonts w:hint="eastAsia" w:ascii="宋体" w:hAnsi="宋体"/>
        </w:rPr>
      </w:pPr>
      <w:r>
        <w:rPr>
          <w:rFonts w:hint="eastAsia" w:ascii="宋体" w:hAnsi="宋体"/>
        </w:rPr>
        <w:t>3）运输及吊装交通组织方案；</w:t>
      </w:r>
    </w:p>
    <w:p w14:paraId="5DFCBD9C">
      <w:pPr>
        <w:spacing w:line="360" w:lineRule="auto"/>
        <w:ind w:firstLine="560"/>
        <w:rPr>
          <w:rFonts w:hint="eastAsia" w:ascii="宋体" w:hAnsi="宋体"/>
        </w:rPr>
      </w:pPr>
      <w:r>
        <w:rPr>
          <w:rFonts w:hint="eastAsia" w:ascii="宋体" w:hAnsi="宋体"/>
        </w:rPr>
        <w:t>4）工作接口（与其它分项工程、其它系统工程）处理。</w:t>
      </w:r>
    </w:p>
    <w:p w14:paraId="4402F4D2">
      <w:pPr>
        <w:spacing w:line="360" w:lineRule="auto"/>
        <w:ind w:firstLine="560"/>
        <w:rPr>
          <w:rFonts w:hint="eastAsia" w:ascii="宋体" w:hAnsi="宋体"/>
        </w:rPr>
      </w:pPr>
      <w:r>
        <w:rPr>
          <w:rFonts w:hint="eastAsia" w:ascii="宋体" w:hAnsi="宋体"/>
        </w:rPr>
        <w:t>（4）施工组织管理合理化建议。</w:t>
      </w:r>
    </w:p>
    <w:p w14:paraId="4076EC63">
      <w:pPr>
        <w:spacing w:line="360" w:lineRule="auto"/>
        <w:ind w:firstLine="560"/>
        <w:rPr>
          <w:rFonts w:hint="eastAsia" w:ascii="宋体" w:hAnsi="宋体"/>
        </w:rPr>
      </w:pPr>
      <w:r>
        <w:rPr>
          <w:rFonts w:hint="eastAsia" w:ascii="宋体" w:hAnsi="宋体"/>
        </w:rPr>
        <w:t>（5）相关表格及其它辅助说明资料。</w:t>
      </w:r>
    </w:p>
    <w:p w14:paraId="2D577279">
      <w:pPr>
        <w:spacing w:line="360" w:lineRule="auto"/>
        <w:ind w:firstLine="560"/>
        <w:rPr>
          <w:rFonts w:hint="eastAsia" w:ascii="宋体" w:hAnsi="宋体"/>
        </w:rPr>
      </w:pPr>
      <w:r>
        <w:rPr>
          <w:rFonts w:hint="eastAsia" w:ascii="宋体" w:hAnsi="宋体"/>
        </w:rPr>
        <w:t>3.半成品及成品保护</w:t>
      </w:r>
    </w:p>
    <w:p w14:paraId="0ECF6400">
      <w:pPr>
        <w:spacing w:line="360" w:lineRule="auto"/>
        <w:ind w:firstLine="560"/>
        <w:rPr>
          <w:rFonts w:hint="eastAsia" w:ascii="宋体" w:hAnsi="宋体"/>
        </w:rPr>
      </w:pPr>
      <w:r>
        <w:rPr>
          <w:rFonts w:hint="eastAsia" w:ascii="宋体" w:hAnsi="宋体"/>
        </w:rPr>
        <w:t>自设备运抵现场到设备预验收之前，</w:t>
      </w:r>
      <w:r>
        <w:rPr>
          <w:rFonts w:hint="eastAsia" w:ascii="宋体" w:hAnsi="宋体"/>
          <w:lang w:eastAsia="zh-CN"/>
        </w:rPr>
        <w:t>供应商</w:t>
      </w:r>
      <w:r>
        <w:rPr>
          <w:rFonts w:hint="eastAsia" w:ascii="宋体" w:hAnsi="宋体"/>
        </w:rPr>
        <w:t>应派人员负责所有自己提供设备和装置在现场的安全和保护工作。</w:t>
      </w:r>
    </w:p>
    <w:p w14:paraId="453C17E3">
      <w:pPr>
        <w:widowControl/>
        <w:spacing w:line="360" w:lineRule="auto"/>
        <w:ind w:firstLine="360"/>
        <w:jc w:val="left"/>
        <w:outlineLvl w:val="1"/>
        <w:rPr>
          <w:rFonts w:hint="eastAsia" w:ascii="宋体" w:hAnsi="宋体"/>
        </w:rPr>
      </w:pPr>
      <w:bookmarkStart w:id="137" w:name="_Toc18181"/>
      <w:bookmarkStart w:id="138" w:name="_Toc38273411"/>
      <w:bookmarkStart w:id="139" w:name="_Toc15692"/>
      <w:bookmarkStart w:id="140" w:name="_Toc15863"/>
      <w:bookmarkStart w:id="141" w:name="_Toc5932"/>
      <w:bookmarkStart w:id="142" w:name="_Toc25143"/>
      <w:bookmarkStart w:id="143" w:name="_Toc30652"/>
      <w:bookmarkStart w:id="144" w:name="_Toc5112187"/>
      <w:r>
        <w:rPr>
          <w:rFonts w:hint="eastAsia" w:ascii="宋体" w:hAnsi="宋体"/>
        </w:rPr>
        <w:t>9.6调试</w:t>
      </w:r>
      <w:bookmarkEnd w:id="137"/>
      <w:bookmarkEnd w:id="138"/>
      <w:bookmarkEnd w:id="139"/>
      <w:bookmarkEnd w:id="140"/>
      <w:bookmarkEnd w:id="141"/>
      <w:bookmarkEnd w:id="142"/>
      <w:bookmarkEnd w:id="143"/>
      <w:bookmarkEnd w:id="144"/>
    </w:p>
    <w:p w14:paraId="2D6D28AC">
      <w:pPr>
        <w:spacing w:line="360" w:lineRule="auto"/>
        <w:ind w:firstLine="560"/>
        <w:rPr>
          <w:rFonts w:hint="eastAsia" w:ascii="宋体" w:hAnsi="宋体"/>
        </w:rPr>
      </w:pPr>
      <w:r>
        <w:rPr>
          <w:rFonts w:hint="eastAsia" w:ascii="宋体" w:hAnsi="宋体"/>
        </w:rPr>
        <w:t>1.设备安装完成后，</w:t>
      </w:r>
      <w:r>
        <w:rPr>
          <w:rFonts w:hint="eastAsia" w:ascii="宋体" w:hAnsi="宋体"/>
          <w:lang w:eastAsia="zh-CN"/>
        </w:rPr>
        <w:t>供应商</w:t>
      </w:r>
      <w:r>
        <w:rPr>
          <w:rFonts w:hint="eastAsia" w:ascii="宋体" w:hAnsi="宋体"/>
        </w:rPr>
        <w:t>应在现场对设备进行调试，以检验其设计、制造、操作性能等方面的情况。</w:t>
      </w:r>
      <w:r>
        <w:rPr>
          <w:rFonts w:hint="eastAsia" w:ascii="宋体" w:hAnsi="宋体"/>
          <w:lang w:eastAsia="zh-CN"/>
        </w:rPr>
        <w:t>供应商</w:t>
      </w:r>
      <w:r>
        <w:rPr>
          <w:rFonts w:hint="eastAsia" w:ascii="宋体" w:hAnsi="宋体"/>
        </w:rPr>
        <w:t>应提供调试所需的工具、材料、仪器。</w:t>
      </w:r>
      <w:r>
        <w:rPr>
          <w:rFonts w:hint="eastAsia" w:ascii="宋体" w:hAnsi="宋体"/>
          <w:lang w:eastAsia="zh-CN"/>
        </w:rPr>
        <w:t>供应商</w:t>
      </w:r>
      <w:r>
        <w:rPr>
          <w:rFonts w:hint="eastAsia" w:ascii="宋体" w:hAnsi="宋体"/>
        </w:rPr>
        <w:t>应在安装完成前，向招标人提交调试方案并附相关记录表格。</w:t>
      </w:r>
    </w:p>
    <w:p w14:paraId="4FBE13B8">
      <w:pPr>
        <w:spacing w:line="360" w:lineRule="auto"/>
        <w:ind w:firstLine="560"/>
        <w:rPr>
          <w:rFonts w:hint="eastAsia" w:ascii="宋体" w:hAnsi="宋体"/>
        </w:rPr>
      </w:pPr>
      <w:r>
        <w:rPr>
          <w:rFonts w:hint="eastAsia" w:ascii="宋体" w:hAnsi="宋体"/>
        </w:rPr>
        <w:t>2.</w:t>
      </w:r>
      <w:r>
        <w:rPr>
          <w:rFonts w:hint="eastAsia" w:ascii="宋体" w:hAnsi="宋体"/>
          <w:lang w:eastAsia="zh-CN"/>
        </w:rPr>
        <w:t>供应商</w:t>
      </w:r>
      <w:r>
        <w:rPr>
          <w:rFonts w:hint="eastAsia" w:ascii="宋体" w:hAnsi="宋体"/>
        </w:rPr>
        <w:t>应完成编制调试大纲、调试计划、调试组织方案、调试人员培训、安排技术人员和技术交底等。并向监理提交调试报告。</w:t>
      </w:r>
    </w:p>
    <w:p w14:paraId="4A074D63">
      <w:pPr>
        <w:spacing w:line="360" w:lineRule="auto"/>
        <w:ind w:firstLine="560"/>
        <w:rPr>
          <w:rFonts w:hint="eastAsia" w:ascii="宋体" w:hAnsi="宋体"/>
        </w:rPr>
      </w:pPr>
      <w:r>
        <w:rPr>
          <w:rFonts w:hint="eastAsia" w:ascii="宋体" w:hAnsi="宋体"/>
        </w:rPr>
        <w:t>3.调试工作完成后，</w:t>
      </w:r>
      <w:r>
        <w:rPr>
          <w:rFonts w:hint="eastAsia" w:ascii="宋体" w:hAnsi="宋体"/>
          <w:lang w:eastAsia="zh-CN"/>
        </w:rPr>
        <w:t>供应商</w:t>
      </w:r>
      <w:r>
        <w:rPr>
          <w:rFonts w:hint="eastAsia" w:ascii="宋体" w:hAnsi="宋体"/>
        </w:rPr>
        <w:t>应向招标人提供所有调试的原始记录和测试报告。同时招标人和</w:t>
      </w:r>
      <w:r>
        <w:rPr>
          <w:rFonts w:hint="eastAsia" w:ascii="宋体" w:hAnsi="宋体"/>
          <w:lang w:eastAsia="zh-CN"/>
        </w:rPr>
        <w:t>供应商</w:t>
      </w:r>
      <w:r>
        <w:rPr>
          <w:rFonts w:hint="eastAsia" w:ascii="宋体" w:hAnsi="宋体"/>
        </w:rPr>
        <w:t>双方及监理工程师应对调试记录签字确认。</w:t>
      </w:r>
    </w:p>
    <w:p w14:paraId="1530BD1D">
      <w:pPr>
        <w:widowControl/>
        <w:spacing w:line="360" w:lineRule="auto"/>
        <w:ind w:firstLine="360"/>
        <w:jc w:val="left"/>
        <w:outlineLvl w:val="1"/>
        <w:rPr>
          <w:rFonts w:hint="eastAsia" w:ascii="宋体" w:hAnsi="宋体"/>
        </w:rPr>
      </w:pPr>
      <w:bookmarkStart w:id="145" w:name="_Toc6599"/>
      <w:bookmarkStart w:id="146" w:name="_Toc29017"/>
      <w:bookmarkStart w:id="147" w:name="_Toc19445"/>
      <w:bookmarkStart w:id="148" w:name="_Toc26586"/>
      <w:bookmarkStart w:id="149" w:name="_Toc38273412"/>
      <w:bookmarkStart w:id="150" w:name="_Toc5112188"/>
      <w:bookmarkStart w:id="151" w:name="_Toc7705"/>
      <w:bookmarkStart w:id="152" w:name="_Toc16020"/>
      <w:r>
        <w:rPr>
          <w:rFonts w:hint="eastAsia" w:ascii="宋体" w:hAnsi="宋体"/>
        </w:rPr>
        <w:t>9.7验收</w:t>
      </w:r>
      <w:bookmarkEnd w:id="145"/>
      <w:bookmarkEnd w:id="146"/>
      <w:bookmarkEnd w:id="147"/>
      <w:bookmarkEnd w:id="148"/>
      <w:bookmarkEnd w:id="149"/>
      <w:bookmarkEnd w:id="150"/>
      <w:bookmarkEnd w:id="151"/>
      <w:bookmarkEnd w:id="152"/>
    </w:p>
    <w:p w14:paraId="09D3B577">
      <w:pPr>
        <w:spacing w:line="360" w:lineRule="auto"/>
        <w:ind w:firstLine="560"/>
        <w:rPr>
          <w:rFonts w:hint="eastAsia" w:ascii="宋体" w:hAnsi="宋体"/>
        </w:rPr>
      </w:pPr>
      <w:r>
        <w:rPr>
          <w:rFonts w:hint="eastAsia" w:ascii="宋体" w:hAnsi="宋体"/>
        </w:rPr>
        <w:t>1.设备质量检验</w:t>
      </w:r>
    </w:p>
    <w:p w14:paraId="19E544FD">
      <w:pPr>
        <w:spacing w:line="360" w:lineRule="auto"/>
        <w:ind w:firstLine="560"/>
        <w:rPr>
          <w:rFonts w:hint="eastAsia" w:ascii="宋体" w:hAnsi="宋体"/>
        </w:rPr>
      </w:pPr>
      <w:r>
        <w:rPr>
          <w:rFonts w:hint="eastAsia" w:ascii="宋体" w:hAnsi="宋体"/>
        </w:rPr>
        <w:t>（1）调试完成，且</w:t>
      </w:r>
      <w:r>
        <w:rPr>
          <w:rFonts w:hint="eastAsia" w:ascii="宋体" w:hAnsi="宋体"/>
          <w:lang w:eastAsia="zh-CN"/>
        </w:rPr>
        <w:t>供应商</w:t>
      </w:r>
      <w:r>
        <w:rPr>
          <w:rFonts w:hint="eastAsia" w:ascii="宋体" w:hAnsi="宋体"/>
        </w:rPr>
        <w:t>通过了初步安全评估后，按照招标人的要求开始设备质量检验。招标人、</w:t>
      </w:r>
      <w:r>
        <w:rPr>
          <w:rFonts w:hint="eastAsia" w:ascii="宋体" w:hAnsi="宋体"/>
          <w:lang w:eastAsia="zh-CN"/>
        </w:rPr>
        <w:t>供应商</w:t>
      </w:r>
      <w:r>
        <w:rPr>
          <w:rFonts w:hint="eastAsia" w:ascii="宋体" w:hAnsi="宋体"/>
        </w:rPr>
        <w:t>、监理共同参加。</w:t>
      </w:r>
    </w:p>
    <w:p w14:paraId="0B945E94">
      <w:pPr>
        <w:spacing w:line="360" w:lineRule="auto"/>
        <w:ind w:firstLine="560"/>
        <w:rPr>
          <w:rFonts w:hint="eastAsia" w:ascii="宋体" w:hAnsi="宋体"/>
        </w:rPr>
      </w:pPr>
      <w:r>
        <w:rPr>
          <w:rFonts w:hint="eastAsia" w:ascii="宋体" w:hAnsi="宋体"/>
        </w:rPr>
        <w:t>（2）在设备质量检验期间，设备以不出现任何故障及质量问题为合格。</w:t>
      </w:r>
    </w:p>
    <w:p w14:paraId="55FCFDE0">
      <w:pPr>
        <w:spacing w:line="360" w:lineRule="auto"/>
        <w:ind w:firstLine="560"/>
        <w:rPr>
          <w:rFonts w:hint="eastAsia" w:ascii="宋体" w:hAnsi="宋体"/>
        </w:rPr>
      </w:pPr>
      <w:r>
        <w:rPr>
          <w:rFonts w:hint="eastAsia" w:ascii="宋体" w:hAnsi="宋体"/>
        </w:rPr>
        <w:t>（3）在设备质量检验期间所有设备均须按实际操作模式无故障连续运行。若设备有故障发生，造成设备质量检验中断，</w:t>
      </w:r>
      <w:r>
        <w:rPr>
          <w:rFonts w:hint="eastAsia" w:ascii="宋体" w:hAnsi="宋体"/>
          <w:lang w:eastAsia="zh-CN"/>
        </w:rPr>
        <w:t>供应商</w:t>
      </w:r>
      <w:r>
        <w:rPr>
          <w:rFonts w:hint="eastAsia" w:ascii="宋体" w:hAnsi="宋体"/>
        </w:rPr>
        <w:t>须负责排除故障并继续设备质量检验。若招标人要求的时间内</w:t>
      </w:r>
      <w:r>
        <w:rPr>
          <w:rFonts w:hint="eastAsia" w:ascii="宋体" w:hAnsi="宋体"/>
          <w:lang w:eastAsia="zh-CN"/>
        </w:rPr>
        <w:t>供应商</w:t>
      </w:r>
      <w:r>
        <w:rPr>
          <w:rFonts w:hint="eastAsia" w:ascii="宋体" w:hAnsi="宋体"/>
        </w:rPr>
        <w:t>未能排除故障，则招标人有权根据合同有关条款处理。</w:t>
      </w:r>
    </w:p>
    <w:p w14:paraId="65A4575C">
      <w:pPr>
        <w:spacing w:line="360" w:lineRule="auto"/>
        <w:ind w:firstLine="560"/>
        <w:rPr>
          <w:rFonts w:hint="eastAsia" w:ascii="宋体" w:hAnsi="宋体"/>
        </w:rPr>
      </w:pPr>
      <w:r>
        <w:rPr>
          <w:rFonts w:hint="eastAsia" w:ascii="宋体" w:hAnsi="宋体"/>
        </w:rPr>
        <w:t>（4）设备质量检验合格后方可进行初步（预）验收。</w:t>
      </w:r>
    </w:p>
    <w:p w14:paraId="6CB84E38">
      <w:pPr>
        <w:spacing w:line="360" w:lineRule="auto"/>
        <w:ind w:firstLine="560"/>
        <w:rPr>
          <w:rFonts w:hint="eastAsia" w:ascii="宋体" w:hAnsi="宋体"/>
        </w:rPr>
      </w:pPr>
      <w:r>
        <w:rPr>
          <w:rFonts w:hint="eastAsia" w:ascii="宋体" w:hAnsi="宋体"/>
        </w:rPr>
        <w:t>2.初步（预）验收</w:t>
      </w:r>
    </w:p>
    <w:p w14:paraId="759DA676">
      <w:pPr>
        <w:spacing w:line="360" w:lineRule="auto"/>
        <w:ind w:firstLine="560"/>
        <w:rPr>
          <w:rFonts w:hint="eastAsia" w:ascii="宋体" w:hAnsi="宋体"/>
        </w:rPr>
      </w:pPr>
      <w:r>
        <w:rPr>
          <w:rFonts w:hint="eastAsia" w:ascii="宋体" w:hAnsi="宋体"/>
        </w:rPr>
        <w:t>（1）招标人主持，监理组织设备的初步（预）验收工作，运营公司、</w:t>
      </w:r>
      <w:r>
        <w:rPr>
          <w:rFonts w:hint="eastAsia" w:ascii="宋体" w:hAnsi="宋体"/>
          <w:lang w:eastAsia="zh-CN"/>
        </w:rPr>
        <w:t>供应商</w:t>
      </w:r>
      <w:r>
        <w:rPr>
          <w:rFonts w:hint="eastAsia" w:ascii="宋体" w:hAnsi="宋体"/>
        </w:rPr>
        <w:t>、设计单位参与；</w:t>
      </w:r>
      <w:r>
        <w:rPr>
          <w:rFonts w:hint="eastAsia" w:ascii="宋体" w:hAnsi="宋体"/>
          <w:lang w:eastAsia="zh-CN"/>
        </w:rPr>
        <w:t>供应商</w:t>
      </w:r>
      <w:r>
        <w:rPr>
          <w:rFonts w:hint="eastAsia" w:ascii="宋体" w:hAnsi="宋体"/>
        </w:rPr>
        <w:t>应承担设备项目向质监站、技术监督局等政府机构的报装、报检直至交付使用的全部责任(如有)。</w:t>
      </w:r>
    </w:p>
    <w:p w14:paraId="3C080144">
      <w:pPr>
        <w:spacing w:line="360" w:lineRule="auto"/>
        <w:ind w:firstLine="560"/>
        <w:rPr>
          <w:rFonts w:hint="eastAsia" w:ascii="宋体" w:hAnsi="宋体"/>
        </w:rPr>
      </w:pPr>
      <w:r>
        <w:rPr>
          <w:rFonts w:hint="eastAsia" w:ascii="宋体" w:hAnsi="宋体"/>
        </w:rPr>
        <w:t>（2）初步（预）验收按合同要求分别对设备性能、功能和文件、档案资料等进行检查，提出整改意见，形成初步（预）验收纪要文件。</w:t>
      </w:r>
    </w:p>
    <w:p w14:paraId="1A25660C">
      <w:pPr>
        <w:spacing w:line="360" w:lineRule="auto"/>
        <w:ind w:firstLine="560"/>
        <w:rPr>
          <w:rFonts w:hint="eastAsia" w:ascii="宋体" w:hAnsi="宋体"/>
        </w:rPr>
      </w:pPr>
      <w:r>
        <w:rPr>
          <w:rFonts w:hint="eastAsia" w:ascii="宋体" w:hAnsi="宋体"/>
        </w:rPr>
        <w:t>（3）对不能一次通过验收的设备，</w:t>
      </w:r>
      <w:r>
        <w:rPr>
          <w:rFonts w:hint="eastAsia" w:ascii="宋体" w:hAnsi="宋体"/>
          <w:lang w:eastAsia="zh-CN"/>
        </w:rPr>
        <w:t>供应商</w:t>
      </w:r>
      <w:r>
        <w:rPr>
          <w:rFonts w:hint="eastAsia" w:ascii="宋体" w:hAnsi="宋体"/>
        </w:rPr>
        <w:t>应及时整改，重新申请验收。</w:t>
      </w:r>
    </w:p>
    <w:p w14:paraId="27C893C2">
      <w:pPr>
        <w:spacing w:line="360" w:lineRule="auto"/>
        <w:ind w:firstLine="560"/>
        <w:rPr>
          <w:rFonts w:hint="eastAsia" w:ascii="宋体" w:hAnsi="宋体"/>
        </w:rPr>
      </w:pPr>
      <w:r>
        <w:rPr>
          <w:rFonts w:hint="eastAsia" w:ascii="宋体" w:hAnsi="宋体"/>
        </w:rPr>
        <w:t>（4）设备在初步（预）验收过程中的整改工作，应在10日内完成，不能影响工程最终期限。</w:t>
      </w:r>
    </w:p>
    <w:p w14:paraId="54D93232">
      <w:pPr>
        <w:spacing w:line="360" w:lineRule="auto"/>
        <w:ind w:firstLine="560"/>
        <w:rPr>
          <w:rFonts w:hint="eastAsia" w:ascii="宋体" w:hAnsi="宋体"/>
        </w:rPr>
      </w:pPr>
      <w:r>
        <w:rPr>
          <w:rFonts w:hint="eastAsia" w:ascii="宋体" w:hAnsi="宋体"/>
        </w:rPr>
        <w:t>（5）按合同移交备品备件、专用工具、仪器仪表等。</w:t>
      </w:r>
    </w:p>
    <w:p w14:paraId="2B679543">
      <w:pPr>
        <w:spacing w:line="360" w:lineRule="auto"/>
        <w:ind w:firstLine="560"/>
        <w:rPr>
          <w:rFonts w:hint="eastAsia" w:ascii="宋体" w:hAnsi="宋体"/>
        </w:rPr>
      </w:pPr>
      <w:r>
        <w:rPr>
          <w:rFonts w:hint="eastAsia" w:ascii="宋体" w:hAnsi="宋体"/>
        </w:rPr>
        <w:t>3.设备耐久性、稳定性检验</w:t>
      </w:r>
    </w:p>
    <w:p w14:paraId="3FD5F0CC">
      <w:pPr>
        <w:spacing w:line="360" w:lineRule="auto"/>
        <w:ind w:firstLine="560"/>
        <w:rPr>
          <w:rFonts w:hint="eastAsia" w:ascii="宋体" w:hAnsi="宋体"/>
        </w:rPr>
      </w:pPr>
      <w:r>
        <w:rPr>
          <w:rFonts w:hint="eastAsia" w:ascii="宋体" w:hAnsi="宋体"/>
        </w:rPr>
        <w:t>（1）设备耐久性、稳定性检验是指竣工验收前对设备的性能、稳定性、持久性、可靠性等方面进行的检验。</w:t>
      </w:r>
    </w:p>
    <w:p w14:paraId="0D83AA90">
      <w:pPr>
        <w:spacing w:line="360" w:lineRule="auto"/>
        <w:ind w:firstLine="560"/>
        <w:rPr>
          <w:rFonts w:hint="eastAsia" w:ascii="宋体" w:hAnsi="宋体"/>
        </w:rPr>
      </w:pPr>
      <w:r>
        <w:rPr>
          <w:rFonts w:hint="eastAsia" w:ascii="宋体" w:hAnsi="宋体"/>
        </w:rPr>
        <w:t>（2）设备耐久性、稳定性检验需要进行两个月的正常运行检验或至少10次系统运行（暂定），具体内容设计联络时最终确定。</w:t>
      </w:r>
    </w:p>
    <w:p w14:paraId="0F3311BC">
      <w:pPr>
        <w:spacing w:line="360" w:lineRule="auto"/>
        <w:ind w:firstLine="560"/>
        <w:rPr>
          <w:rFonts w:hint="eastAsia" w:ascii="宋体" w:hAnsi="宋体"/>
        </w:rPr>
      </w:pPr>
      <w:r>
        <w:rPr>
          <w:rFonts w:hint="eastAsia" w:ascii="宋体" w:hAnsi="宋体"/>
        </w:rPr>
        <w:t>（3）设备耐久性、稳定性检验期间招标人根据需要有权要求</w:t>
      </w:r>
      <w:r>
        <w:rPr>
          <w:rFonts w:hint="eastAsia" w:ascii="宋体" w:hAnsi="宋体"/>
          <w:lang w:eastAsia="zh-CN"/>
        </w:rPr>
        <w:t>供应商</w:t>
      </w:r>
      <w:r>
        <w:rPr>
          <w:rFonts w:hint="eastAsia" w:ascii="宋体" w:hAnsi="宋体"/>
        </w:rPr>
        <w:t>安排维保人员进行现场技术保障。</w:t>
      </w:r>
    </w:p>
    <w:p w14:paraId="353C0E59">
      <w:pPr>
        <w:spacing w:line="360" w:lineRule="auto"/>
        <w:ind w:firstLine="560"/>
        <w:rPr>
          <w:rFonts w:hint="eastAsia" w:ascii="宋体" w:hAnsi="宋体"/>
        </w:rPr>
      </w:pPr>
      <w:r>
        <w:rPr>
          <w:rFonts w:hint="eastAsia" w:ascii="宋体" w:hAnsi="宋体"/>
        </w:rPr>
        <w:t>4.竣工验收</w:t>
      </w:r>
    </w:p>
    <w:p w14:paraId="5BFF36E2">
      <w:pPr>
        <w:spacing w:line="360" w:lineRule="auto"/>
        <w:ind w:firstLine="560"/>
        <w:rPr>
          <w:rFonts w:hint="eastAsia" w:ascii="宋体" w:hAnsi="宋体"/>
        </w:rPr>
      </w:pPr>
      <w:r>
        <w:rPr>
          <w:rFonts w:hint="eastAsia" w:ascii="宋体" w:hAnsi="宋体"/>
        </w:rPr>
        <w:t>（1）竣工验收是招标人接收设备前的验收。竣工验收时，由</w:t>
      </w:r>
      <w:r>
        <w:rPr>
          <w:rFonts w:hint="eastAsia" w:ascii="宋体" w:hAnsi="宋体"/>
          <w:lang w:eastAsia="zh-CN"/>
        </w:rPr>
        <w:t>供应商</w:t>
      </w:r>
      <w:r>
        <w:rPr>
          <w:rFonts w:hint="eastAsia" w:ascii="宋体" w:hAnsi="宋体"/>
        </w:rPr>
        <w:t>按有关要求提供竣工资料，一式十份。主要内容包括：安装检验报告、调试报告、竣工验收报告、竣工图纸等。</w:t>
      </w:r>
    </w:p>
    <w:p w14:paraId="68E97209">
      <w:pPr>
        <w:spacing w:line="360" w:lineRule="auto"/>
        <w:ind w:firstLine="560"/>
        <w:rPr>
          <w:rFonts w:hint="eastAsia" w:ascii="宋体" w:hAnsi="宋体"/>
        </w:rPr>
      </w:pPr>
      <w:r>
        <w:rPr>
          <w:rFonts w:hint="eastAsia" w:ascii="宋体" w:hAnsi="宋体"/>
        </w:rPr>
        <w:t>（2）招标人、运营公司、设计、监理组成验收组，</w:t>
      </w:r>
      <w:r>
        <w:rPr>
          <w:rFonts w:hint="eastAsia" w:ascii="宋体" w:hAnsi="宋体"/>
          <w:lang w:eastAsia="zh-CN"/>
        </w:rPr>
        <w:t>供应商</w:t>
      </w:r>
      <w:r>
        <w:rPr>
          <w:rFonts w:hint="eastAsia" w:ascii="宋体" w:hAnsi="宋体"/>
        </w:rPr>
        <w:t>参加，按照合同要求对设备性能、功能、竣工文件、档案资料等进行检查。</w:t>
      </w:r>
    </w:p>
    <w:p w14:paraId="5EC8BFB9">
      <w:pPr>
        <w:spacing w:line="360" w:lineRule="auto"/>
        <w:ind w:firstLine="560"/>
        <w:rPr>
          <w:rFonts w:hint="eastAsia" w:ascii="宋体" w:hAnsi="宋体"/>
        </w:rPr>
      </w:pPr>
      <w:r>
        <w:rPr>
          <w:rFonts w:hint="eastAsia" w:ascii="宋体" w:hAnsi="宋体"/>
        </w:rPr>
        <w:t>（3）对通过了检验的设备，招标人将签署竣工验收证书并接收设备。在设备移交时，</w:t>
      </w:r>
      <w:r>
        <w:rPr>
          <w:rFonts w:hint="eastAsia" w:ascii="宋体" w:hAnsi="宋体"/>
          <w:lang w:eastAsia="zh-CN"/>
        </w:rPr>
        <w:t>供应商</w:t>
      </w:r>
      <w:r>
        <w:rPr>
          <w:rFonts w:hint="eastAsia" w:ascii="宋体" w:hAnsi="宋体"/>
        </w:rPr>
        <w:t>需提交一式十份设备移交清单。竣工验收证书须最终使用方签字盖章确认，方可生效。</w:t>
      </w:r>
    </w:p>
    <w:p w14:paraId="56701118">
      <w:pPr>
        <w:spacing w:line="360" w:lineRule="auto"/>
        <w:ind w:firstLine="560"/>
        <w:rPr>
          <w:rFonts w:hint="eastAsia" w:ascii="宋体" w:hAnsi="宋体"/>
        </w:rPr>
      </w:pPr>
      <w:r>
        <w:rPr>
          <w:rFonts w:hint="eastAsia" w:ascii="宋体" w:hAnsi="宋体"/>
        </w:rPr>
        <w:t>（4）</w:t>
      </w:r>
      <w:r>
        <w:rPr>
          <w:rFonts w:hint="eastAsia" w:ascii="宋体" w:hAnsi="宋体"/>
          <w:lang w:eastAsia="zh-CN"/>
        </w:rPr>
        <w:t>供应商</w:t>
      </w:r>
      <w:r>
        <w:rPr>
          <w:rFonts w:hint="eastAsia" w:ascii="宋体" w:hAnsi="宋体"/>
        </w:rPr>
        <w:t>要协助招标人做好竣工备案工作。</w:t>
      </w:r>
    </w:p>
    <w:p w14:paraId="244CAD59">
      <w:pPr>
        <w:spacing w:line="360" w:lineRule="auto"/>
        <w:ind w:firstLine="560"/>
        <w:rPr>
          <w:rFonts w:hint="eastAsia" w:ascii="宋体" w:hAnsi="宋体"/>
        </w:rPr>
      </w:pPr>
      <w:r>
        <w:rPr>
          <w:rFonts w:hint="eastAsia" w:ascii="宋体" w:hAnsi="宋体"/>
        </w:rPr>
        <w:t>5.最终验收</w:t>
      </w:r>
    </w:p>
    <w:p w14:paraId="2CA2EAD4">
      <w:pPr>
        <w:spacing w:line="360" w:lineRule="auto"/>
        <w:ind w:firstLine="560"/>
        <w:rPr>
          <w:rFonts w:hint="eastAsia" w:ascii="宋体" w:hAnsi="宋体"/>
        </w:rPr>
      </w:pPr>
      <w:r>
        <w:rPr>
          <w:rFonts w:hint="eastAsia" w:ascii="宋体" w:hAnsi="宋体"/>
        </w:rPr>
        <w:t>（1）最终验收应在设备质保期结束后进行，最终确认设备能否满足要求。最终验收合格后签署最终验收文件。最终验收文件须最终使用方签字盖章确认，方可生效。</w:t>
      </w:r>
    </w:p>
    <w:p w14:paraId="0117830A">
      <w:pPr>
        <w:spacing w:line="360" w:lineRule="auto"/>
        <w:ind w:firstLine="560"/>
        <w:rPr>
          <w:rFonts w:hint="eastAsia" w:ascii="宋体" w:hAnsi="宋体"/>
        </w:rPr>
      </w:pPr>
      <w:r>
        <w:rPr>
          <w:rFonts w:hint="eastAsia" w:ascii="宋体" w:hAnsi="宋体"/>
        </w:rPr>
        <w:t>（2）最终验收的内容包括性能检查和零部件实际质量检查。</w:t>
      </w:r>
    </w:p>
    <w:p w14:paraId="7E0AB6B3">
      <w:pPr>
        <w:spacing w:line="360" w:lineRule="auto"/>
        <w:ind w:firstLine="560"/>
        <w:rPr>
          <w:rFonts w:hint="eastAsia" w:ascii="宋体" w:hAnsi="宋体"/>
        </w:rPr>
      </w:pPr>
      <w:r>
        <w:rPr>
          <w:rFonts w:hint="eastAsia" w:ascii="宋体" w:hAnsi="宋体"/>
        </w:rPr>
        <w:t>（3）确定需</w:t>
      </w:r>
      <w:r>
        <w:rPr>
          <w:rFonts w:hint="eastAsia" w:ascii="宋体" w:hAnsi="宋体"/>
          <w:lang w:eastAsia="zh-CN"/>
        </w:rPr>
        <w:t>供应商</w:t>
      </w:r>
      <w:r>
        <w:rPr>
          <w:rFonts w:hint="eastAsia" w:ascii="宋体" w:hAnsi="宋体"/>
        </w:rPr>
        <w:t>更换或修理的部件，</w:t>
      </w:r>
      <w:r>
        <w:rPr>
          <w:rFonts w:hint="eastAsia" w:ascii="宋体" w:hAnsi="宋体"/>
          <w:lang w:eastAsia="zh-CN"/>
        </w:rPr>
        <w:t>供应商</w:t>
      </w:r>
      <w:r>
        <w:rPr>
          <w:rFonts w:hint="eastAsia" w:ascii="宋体" w:hAnsi="宋体"/>
        </w:rPr>
        <w:t>应及时更换或修复。</w:t>
      </w:r>
    </w:p>
    <w:p w14:paraId="7C0FE756">
      <w:pPr>
        <w:spacing w:line="360" w:lineRule="auto"/>
        <w:ind w:firstLine="560"/>
        <w:rPr>
          <w:rFonts w:hint="eastAsia" w:ascii="宋体" w:hAnsi="宋体"/>
        </w:rPr>
      </w:pPr>
      <w:r>
        <w:rPr>
          <w:rFonts w:hint="eastAsia" w:ascii="宋体" w:hAnsi="宋体"/>
        </w:rPr>
        <w:t>（4）设备质保期满通过最终验收，结算质保金并付清全部合同款。</w:t>
      </w:r>
    </w:p>
    <w:p w14:paraId="092AD2CB">
      <w:pPr>
        <w:widowControl/>
        <w:spacing w:line="360" w:lineRule="auto"/>
        <w:ind w:firstLine="360"/>
        <w:jc w:val="left"/>
        <w:outlineLvl w:val="1"/>
        <w:rPr>
          <w:rFonts w:hint="eastAsia" w:ascii="宋体" w:hAnsi="宋体"/>
        </w:rPr>
      </w:pPr>
      <w:bookmarkStart w:id="153" w:name="_Toc8527"/>
      <w:bookmarkStart w:id="154" w:name="_Toc30251"/>
      <w:bookmarkStart w:id="155" w:name="_Toc27377"/>
      <w:bookmarkStart w:id="156" w:name="_Toc5112189"/>
      <w:bookmarkStart w:id="157" w:name="_Toc38273413"/>
      <w:bookmarkStart w:id="158" w:name="_Toc25223"/>
      <w:bookmarkStart w:id="159" w:name="_Toc28546"/>
      <w:bookmarkStart w:id="160" w:name="_Toc90"/>
      <w:r>
        <w:rPr>
          <w:rFonts w:hint="eastAsia" w:ascii="宋体" w:hAnsi="宋体"/>
        </w:rPr>
        <w:t>9.8质量保证</w:t>
      </w:r>
      <w:bookmarkEnd w:id="153"/>
      <w:bookmarkEnd w:id="154"/>
      <w:bookmarkEnd w:id="155"/>
      <w:bookmarkEnd w:id="156"/>
      <w:bookmarkEnd w:id="157"/>
      <w:bookmarkEnd w:id="158"/>
      <w:bookmarkEnd w:id="159"/>
      <w:bookmarkEnd w:id="160"/>
    </w:p>
    <w:p w14:paraId="4AE575A9">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应严格按照ISO9000质量体系的规定，制定项目质量控制标准，保证在项目执行的各个阶段均得到有效控制，所有质量控制过程均应有质量记录，以便进行产品、设备质量的追溯。</w:t>
      </w:r>
    </w:p>
    <w:p w14:paraId="5FDFABE9">
      <w:pPr>
        <w:spacing w:line="360" w:lineRule="auto"/>
        <w:ind w:firstLine="560"/>
        <w:rPr>
          <w:rFonts w:hint="eastAsia" w:ascii="宋体" w:hAnsi="宋体"/>
        </w:rPr>
      </w:pPr>
      <w:r>
        <w:rPr>
          <w:rFonts w:hint="eastAsia" w:ascii="宋体" w:hAnsi="宋体"/>
        </w:rPr>
        <w:t>1.质量控制</w:t>
      </w:r>
    </w:p>
    <w:p w14:paraId="22D2E97B">
      <w:pPr>
        <w:spacing w:line="360" w:lineRule="auto"/>
        <w:ind w:firstLine="560"/>
        <w:rPr>
          <w:rFonts w:hint="eastAsia" w:ascii="宋体" w:hAnsi="宋体"/>
        </w:rPr>
      </w:pPr>
      <w:r>
        <w:rPr>
          <w:rFonts w:hint="eastAsia" w:ascii="宋体" w:hAnsi="宋体"/>
        </w:rPr>
        <w:t>质量控制应包括（但不限于）以下内容：</w:t>
      </w:r>
    </w:p>
    <w:p w14:paraId="1053D360">
      <w:pPr>
        <w:spacing w:line="360" w:lineRule="auto"/>
        <w:ind w:firstLine="560"/>
        <w:rPr>
          <w:rFonts w:hint="eastAsia" w:ascii="宋体" w:hAnsi="宋体"/>
        </w:rPr>
      </w:pPr>
      <w:r>
        <w:rPr>
          <w:rFonts w:hint="eastAsia" w:ascii="宋体" w:hAnsi="宋体"/>
        </w:rPr>
        <w:t>（1）设计、生产制造、测试等阶段的控制</w:t>
      </w:r>
    </w:p>
    <w:p w14:paraId="7AE0CC7C">
      <w:pPr>
        <w:spacing w:line="360" w:lineRule="auto"/>
        <w:ind w:firstLine="560"/>
        <w:rPr>
          <w:rFonts w:hint="eastAsia" w:ascii="宋体" w:hAnsi="宋体"/>
        </w:rPr>
      </w:pPr>
      <w:r>
        <w:rPr>
          <w:rFonts w:hint="eastAsia" w:ascii="宋体" w:hAnsi="宋体"/>
        </w:rPr>
        <w:t>1）制定合同各阶段（如：设计、生产制造、测试等阶段）的质量保证监督计划，确保交付的各项设备均达到合同的要求。</w:t>
      </w:r>
    </w:p>
    <w:p w14:paraId="1D119D3F">
      <w:pPr>
        <w:spacing w:line="360" w:lineRule="auto"/>
        <w:ind w:firstLine="560"/>
        <w:rPr>
          <w:rFonts w:hint="eastAsia" w:ascii="宋体" w:hAnsi="宋体"/>
        </w:rPr>
      </w:pPr>
      <w:r>
        <w:rPr>
          <w:rFonts w:hint="eastAsia" w:ascii="宋体" w:hAnsi="宋体"/>
        </w:rPr>
        <w:t>2）对直接影响质量的制造和装配，应制定详细的监督和控制计划，报招标人确认批准。</w:t>
      </w:r>
    </w:p>
    <w:p w14:paraId="47CA3874">
      <w:pPr>
        <w:spacing w:line="360" w:lineRule="auto"/>
        <w:ind w:firstLine="560"/>
        <w:rPr>
          <w:rFonts w:hint="eastAsia" w:ascii="宋体" w:hAnsi="宋体"/>
        </w:rPr>
      </w:pPr>
      <w:r>
        <w:rPr>
          <w:rFonts w:hint="eastAsia" w:ascii="宋体" w:hAnsi="宋体"/>
        </w:rPr>
        <w:t>3）</w:t>
      </w:r>
      <w:r>
        <w:rPr>
          <w:rFonts w:hint="eastAsia" w:ascii="宋体" w:hAnsi="宋体"/>
          <w:lang w:eastAsia="zh-CN"/>
        </w:rPr>
        <w:t>供应商</w:t>
      </w:r>
      <w:r>
        <w:rPr>
          <w:rFonts w:hint="eastAsia" w:ascii="宋体" w:hAnsi="宋体"/>
        </w:rPr>
        <w:t>应对所有外购材料采取有效的质量控制措施，以确保其满足合同的要求。</w:t>
      </w:r>
    </w:p>
    <w:p w14:paraId="33E48751">
      <w:pPr>
        <w:spacing w:line="360" w:lineRule="auto"/>
        <w:ind w:firstLine="560"/>
        <w:rPr>
          <w:rFonts w:hint="eastAsia" w:ascii="宋体" w:hAnsi="宋体"/>
        </w:rPr>
      </w:pPr>
      <w:r>
        <w:rPr>
          <w:rFonts w:hint="eastAsia" w:ascii="宋体" w:hAnsi="宋体"/>
        </w:rPr>
        <w:t>4）对质检员应进行培训，确保质检员合格上岗。</w:t>
      </w:r>
    </w:p>
    <w:p w14:paraId="61280BB6">
      <w:pPr>
        <w:spacing w:line="360" w:lineRule="auto"/>
        <w:ind w:firstLine="560"/>
        <w:rPr>
          <w:rFonts w:hint="eastAsia" w:ascii="宋体" w:hAnsi="宋体"/>
        </w:rPr>
      </w:pPr>
      <w:r>
        <w:rPr>
          <w:rFonts w:hint="eastAsia" w:ascii="宋体" w:hAnsi="宋体"/>
        </w:rPr>
        <w:t>（2）检查和试验阶段的控制</w:t>
      </w:r>
    </w:p>
    <w:p w14:paraId="5856246D">
      <w:pPr>
        <w:spacing w:line="360" w:lineRule="auto"/>
        <w:ind w:firstLine="560"/>
        <w:rPr>
          <w:rFonts w:hint="eastAsia" w:ascii="宋体" w:hAnsi="宋体"/>
        </w:rPr>
      </w:pPr>
      <w:r>
        <w:rPr>
          <w:rFonts w:hint="eastAsia" w:ascii="宋体" w:hAnsi="宋体"/>
        </w:rPr>
        <w:t>1）应保证未经检查或鉴定是否符合规定要求的产品不得使用或加工。</w:t>
      </w:r>
    </w:p>
    <w:p w14:paraId="7BC0453B">
      <w:pPr>
        <w:spacing w:line="360" w:lineRule="auto"/>
        <w:ind w:firstLine="560"/>
        <w:rPr>
          <w:rFonts w:hint="eastAsia" w:ascii="宋体" w:hAnsi="宋体"/>
        </w:rPr>
      </w:pPr>
      <w:r>
        <w:rPr>
          <w:rFonts w:hint="eastAsia" w:ascii="宋体" w:hAnsi="宋体"/>
        </w:rPr>
        <w:t>2）设备出厂验收应提前1个月向招标人提交验收文件和计划，经招标人（或委托工程监理）确认批准后方可实施。</w:t>
      </w:r>
    </w:p>
    <w:p w14:paraId="1A2CEE42">
      <w:pPr>
        <w:spacing w:line="360" w:lineRule="auto"/>
        <w:ind w:firstLine="560"/>
        <w:rPr>
          <w:rFonts w:hint="eastAsia" w:ascii="宋体" w:hAnsi="宋体"/>
        </w:rPr>
      </w:pPr>
      <w:r>
        <w:rPr>
          <w:rFonts w:hint="eastAsia" w:ascii="宋体" w:hAnsi="宋体"/>
        </w:rPr>
        <w:t>3）应严格按照出厂验收的规格书进行相应的试验，不得以任何借口减少试验项目和内容。</w:t>
      </w:r>
    </w:p>
    <w:p w14:paraId="48BD1D56">
      <w:pPr>
        <w:spacing w:line="360" w:lineRule="auto"/>
        <w:ind w:firstLine="560"/>
        <w:rPr>
          <w:rFonts w:hint="eastAsia" w:ascii="宋体" w:hAnsi="宋体"/>
        </w:rPr>
      </w:pPr>
      <w:r>
        <w:rPr>
          <w:rFonts w:hint="eastAsia" w:ascii="宋体" w:hAnsi="宋体"/>
        </w:rPr>
        <w:t>2.质量审核</w:t>
      </w:r>
    </w:p>
    <w:p w14:paraId="1A1B5166">
      <w:pPr>
        <w:spacing w:line="360" w:lineRule="auto"/>
        <w:ind w:firstLine="560"/>
        <w:rPr>
          <w:rFonts w:hint="eastAsia" w:ascii="宋体" w:hAnsi="宋体"/>
        </w:rPr>
      </w:pPr>
      <w:r>
        <w:rPr>
          <w:rFonts w:hint="eastAsia" w:ascii="宋体" w:hAnsi="宋体"/>
        </w:rPr>
        <w:t>（1）</w:t>
      </w:r>
      <w:r>
        <w:rPr>
          <w:rFonts w:hint="eastAsia" w:ascii="宋体" w:hAnsi="宋体"/>
          <w:lang w:eastAsia="zh-CN"/>
        </w:rPr>
        <w:t>供应商</w:t>
      </w:r>
      <w:r>
        <w:rPr>
          <w:rFonts w:hint="eastAsia" w:ascii="宋体" w:hAnsi="宋体"/>
        </w:rPr>
        <w:t>应设立内部质量审核体系，用以审核其质量保证监督措施是否按规定的计划和内容实施。</w:t>
      </w:r>
    </w:p>
    <w:p w14:paraId="250E71C6">
      <w:pPr>
        <w:spacing w:line="360" w:lineRule="auto"/>
        <w:ind w:firstLine="560"/>
        <w:rPr>
          <w:rFonts w:hint="eastAsia" w:ascii="宋体" w:hAnsi="宋体"/>
        </w:rPr>
      </w:pPr>
      <w:r>
        <w:rPr>
          <w:rFonts w:hint="eastAsia" w:ascii="宋体" w:hAnsi="宋体"/>
        </w:rPr>
        <w:t>（2）审核工作应根据工程每阶段的重点制定计划，按计划进行。</w:t>
      </w:r>
    </w:p>
    <w:p w14:paraId="362F89DA">
      <w:pPr>
        <w:spacing w:line="360" w:lineRule="auto"/>
        <w:ind w:firstLine="560"/>
        <w:rPr>
          <w:rFonts w:hint="eastAsia" w:ascii="宋体" w:hAnsi="宋体"/>
        </w:rPr>
      </w:pPr>
      <w:r>
        <w:rPr>
          <w:rFonts w:hint="eastAsia" w:ascii="宋体" w:hAnsi="宋体"/>
        </w:rPr>
        <w:t>（3）</w:t>
      </w:r>
      <w:r>
        <w:rPr>
          <w:rFonts w:hint="eastAsia" w:ascii="宋体" w:hAnsi="宋体"/>
          <w:lang w:eastAsia="zh-CN"/>
        </w:rPr>
        <w:t>供应商</w:t>
      </w:r>
      <w:r>
        <w:rPr>
          <w:rFonts w:hint="eastAsia" w:ascii="宋体" w:hAnsi="宋体"/>
        </w:rPr>
        <w:t>对审核结果应形成文件，备查。</w:t>
      </w:r>
    </w:p>
    <w:p w14:paraId="58C850A0">
      <w:pPr>
        <w:spacing w:line="360" w:lineRule="auto"/>
        <w:ind w:firstLine="560"/>
        <w:rPr>
          <w:rFonts w:hint="eastAsia" w:ascii="宋体" w:hAnsi="宋体"/>
        </w:rPr>
      </w:pPr>
      <w:r>
        <w:rPr>
          <w:rFonts w:hint="eastAsia" w:ascii="宋体" w:hAnsi="宋体"/>
        </w:rPr>
        <w:t>3.质量记录</w:t>
      </w:r>
    </w:p>
    <w:p w14:paraId="17CA0190">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应按照设备做好产品质量记录，用以证明产品已达到规定的质量要求。质量记录应清晰可辩，如招标人需要，应可随时调看。</w:t>
      </w:r>
    </w:p>
    <w:p w14:paraId="3BAAB952">
      <w:pPr>
        <w:spacing w:line="360" w:lineRule="auto"/>
        <w:ind w:firstLine="560"/>
        <w:rPr>
          <w:rFonts w:hint="eastAsia" w:ascii="宋体" w:hAnsi="宋体"/>
        </w:rPr>
      </w:pPr>
      <w:r>
        <w:rPr>
          <w:rFonts w:hint="eastAsia" w:ascii="宋体" w:hAnsi="宋体"/>
        </w:rPr>
        <w:t>4.质量文件</w:t>
      </w:r>
    </w:p>
    <w:p w14:paraId="1F94479F">
      <w:pPr>
        <w:spacing w:line="360" w:lineRule="auto"/>
        <w:ind w:firstLine="560"/>
        <w:rPr>
          <w:rFonts w:hint="eastAsia" w:ascii="宋体" w:hAnsi="宋体"/>
        </w:rPr>
      </w:pPr>
      <w:r>
        <w:rPr>
          <w:rFonts w:hint="eastAsia" w:ascii="宋体" w:hAnsi="宋体"/>
        </w:rPr>
        <w:t>（1）质量政策、目的文件：</w:t>
      </w:r>
    </w:p>
    <w:p w14:paraId="168C6785">
      <w:pPr>
        <w:spacing w:line="360" w:lineRule="auto"/>
        <w:ind w:firstLine="560"/>
        <w:rPr>
          <w:rFonts w:hint="eastAsia" w:ascii="宋体" w:hAnsi="宋体"/>
        </w:rPr>
      </w:pPr>
      <w:r>
        <w:rPr>
          <w:rFonts w:hint="eastAsia" w:ascii="宋体" w:hAnsi="宋体"/>
        </w:rPr>
        <w:t>1）</w:t>
      </w:r>
      <w:r>
        <w:rPr>
          <w:rFonts w:hint="eastAsia" w:ascii="宋体" w:hAnsi="宋体"/>
          <w:lang w:eastAsia="zh-CN"/>
        </w:rPr>
        <w:t>供应商</w:t>
      </w:r>
      <w:r>
        <w:rPr>
          <w:rFonts w:hint="eastAsia" w:ascii="宋体" w:hAnsi="宋体"/>
        </w:rPr>
        <w:t>对设备质量的政策、目的和保证应有明确定义并制定文件。</w:t>
      </w:r>
    </w:p>
    <w:p w14:paraId="236C1B1B">
      <w:pPr>
        <w:spacing w:line="360" w:lineRule="auto"/>
        <w:ind w:firstLine="560"/>
        <w:rPr>
          <w:rFonts w:hint="eastAsia" w:ascii="宋体" w:hAnsi="宋体"/>
        </w:rPr>
      </w:pPr>
      <w:r>
        <w:rPr>
          <w:rFonts w:hint="eastAsia" w:ascii="宋体" w:hAnsi="宋体"/>
        </w:rPr>
        <w:t>2）保证该政策在各级组织范围内已理解、贯彻和执行。</w:t>
      </w:r>
    </w:p>
    <w:p w14:paraId="0558A0B8">
      <w:pPr>
        <w:spacing w:line="360" w:lineRule="auto"/>
        <w:ind w:firstLine="560"/>
        <w:rPr>
          <w:rFonts w:hint="eastAsia" w:ascii="宋体" w:hAnsi="宋体"/>
        </w:rPr>
      </w:pPr>
      <w:r>
        <w:rPr>
          <w:rFonts w:hint="eastAsia" w:ascii="宋体" w:hAnsi="宋体"/>
        </w:rPr>
        <w:t>（2）质量体系程序文件：</w:t>
      </w:r>
    </w:p>
    <w:p w14:paraId="341A7861">
      <w:pPr>
        <w:spacing w:line="360" w:lineRule="auto"/>
        <w:ind w:firstLine="560"/>
        <w:rPr>
          <w:rFonts w:hint="eastAsia" w:ascii="宋体" w:hAnsi="宋体"/>
        </w:rPr>
      </w:pPr>
      <w:r>
        <w:rPr>
          <w:rFonts w:hint="eastAsia" w:ascii="宋体" w:hAnsi="宋体"/>
        </w:rPr>
        <w:t>1）</w:t>
      </w:r>
      <w:r>
        <w:rPr>
          <w:rFonts w:hint="eastAsia" w:ascii="宋体" w:hAnsi="宋体"/>
          <w:lang w:eastAsia="zh-CN"/>
        </w:rPr>
        <w:t>供应商</w:t>
      </w:r>
      <w:r>
        <w:rPr>
          <w:rFonts w:hint="eastAsia" w:ascii="宋体" w:hAnsi="宋体"/>
        </w:rPr>
        <w:t>应建立和贯彻以明文规定的质量体系，作为保证设备符合技术要求的一种手段。</w:t>
      </w:r>
    </w:p>
    <w:p w14:paraId="7688EA4A">
      <w:pPr>
        <w:spacing w:line="360" w:lineRule="auto"/>
        <w:ind w:firstLine="560"/>
        <w:rPr>
          <w:rFonts w:hint="eastAsia" w:ascii="宋体" w:hAnsi="宋体"/>
        </w:rPr>
      </w:pPr>
      <w:r>
        <w:rPr>
          <w:rFonts w:hint="eastAsia" w:ascii="宋体" w:hAnsi="宋体"/>
        </w:rPr>
        <w:t>2）</w:t>
      </w:r>
      <w:r>
        <w:rPr>
          <w:rFonts w:hint="eastAsia" w:ascii="宋体" w:hAnsi="宋体"/>
          <w:lang w:eastAsia="zh-CN"/>
        </w:rPr>
        <w:t>供应商</w:t>
      </w:r>
      <w:r>
        <w:rPr>
          <w:rFonts w:hint="eastAsia" w:ascii="宋体" w:hAnsi="宋体"/>
        </w:rPr>
        <w:t>应向招标人提供现行、有效、成文的质量体系程序文件。</w:t>
      </w:r>
    </w:p>
    <w:p w14:paraId="7D911CE7">
      <w:pPr>
        <w:spacing w:line="360" w:lineRule="auto"/>
        <w:ind w:firstLine="560"/>
        <w:rPr>
          <w:rFonts w:hint="eastAsia" w:ascii="宋体" w:hAnsi="宋体"/>
        </w:rPr>
      </w:pPr>
      <w:r>
        <w:rPr>
          <w:rFonts w:hint="eastAsia" w:ascii="宋体" w:hAnsi="宋体"/>
        </w:rPr>
        <w:t>3）质量体系程序文件应包括：产品设计、文件控制、设备采购生产、测试检验、包装运输、现场服务等。</w:t>
      </w:r>
    </w:p>
    <w:p w14:paraId="430ECC38">
      <w:pPr>
        <w:spacing w:line="360" w:lineRule="auto"/>
        <w:ind w:firstLine="560"/>
        <w:rPr>
          <w:rFonts w:hint="eastAsia" w:ascii="宋体" w:hAnsi="宋体"/>
        </w:rPr>
      </w:pPr>
      <w:r>
        <w:rPr>
          <w:rFonts w:hint="eastAsia" w:ascii="宋体" w:hAnsi="宋体"/>
        </w:rPr>
        <w:t>（3）所有相关质量保证文件应提交招标人，并随时接受招标人的审查。</w:t>
      </w:r>
    </w:p>
    <w:p w14:paraId="29BD5564">
      <w:pPr>
        <w:spacing w:line="360" w:lineRule="auto"/>
        <w:ind w:firstLine="560"/>
        <w:rPr>
          <w:rFonts w:hint="eastAsia" w:ascii="宋体" w:hAnsi="宋体"/>
        </w:rPr>
      </w:pPr>
      <w:r>
        <w:rPr>
          <w:rFonts w:hint="eastAsia" w:ascii="宋体" w:hAnsi="宋体"/>
        </w:rPr>
        <w:t>5.质保期</w:t>
      </w:r>
    </w:p>
    <w:p w14:paraId="5F819705">
      <w:pPr>
        <w:spacing w:line="360" w:lineRule="auto"/>
        <w:ind w:firstLine="560"/>
        <w:rPr>
          <w:rFonts w:hint="eastAsia" w:ascii="宋体" w:hAnsi="宋体"/>
        </w:rPr>
      </w:pPr>
      <w:r>
        <w:rPr>
          <w:rFonts w:hint="eastAsia" w:ascii="宋体" w:hAnsi="宋体"/>
        </w:rPr>
        <w:t>（1）本项目的质量保证期指设备安装、调试、验收完毕，双方签署竣工验收文件，设备投入使用之日起24个月。如果合同设备在质保期内出现缺陷或质量问题引发的故障，</w:t>
      </w:r>
      <w:r>
        <w:rPr>
          <w:rFonts w:hint="eastAsia" w:ascii="宋体" w:hAnsi="宋体"/>
          <w:lang w:eastAsia="zh-CN"/>
        </w:rPr>
        <w:t>供应商</w:t>
      </w:r>
      <w:r>
        <w:rPr>
          <w:rFonts w:hint="eastAsia" w:ascii="宋体" w:hAnsi="宋体"/>
        </w:rPr>
        <w:t>负责免费维修和更换。维修工作必须包括设备的故障修理、定期检查和调整等，</w:t>
      </w:r>
      <w:r>
        <w:rPr>
          <w:rFonts w:hint="eastAsia" w:ascii="宋体" w:hAnsi="宋体"/>
          <w:lang w:eastAsia="zh-CN"/>
        </w:rPr>
        <w:t>供应商</w:t>
      </w:r>
      <w:r>
        <w:rPr>
          <w:rFonts w:hint="eastAsia" w:ascii="宋体" w:hAnsi="宋体"/>
        </w:rPr>
        <w:t>在修理或更换设备的所有部件，必须采用原制造厂出品的零部件。</w:t>
      </w:r>
    </w:p>
    <w:p w14:paraId="098B95C7">
      <w:pPr>
        <w:spacing w:line="360" w:lineRule="auto"/>
        <w:ind w:firstLine="560"/>
        <w:rPr>
          <w:rFonts w:hint="eastAsia" w:ascii="宋体" w:hAnsi="宋体"/>
        </w:rPr>
      </w:pPr>
      <w:r>
        <w:rPr>
          <w:rFonts w:hint="eastAsia" w:ascii="宋体" w:hAnsi="宋体"/>
        </w:rPr>
        <w:t>在质量保证期内，</w:t>
      </w:r>
      <w:r>
        <w:rPr>
          <w:rFonts w:hint="eastAsia" w:ascii="宋体" w:hAnsi="宋体"/>
          <w:lang w:eastAsia="zh-CN"/>
        </w:rPr>
        <w:t>供应商</w:t>
      </w:r>
      <w:r>
        <w:rPr>
          <w:rFonts w:hint="eastAsia" w:ascii="宋体" w:hAnsi="宋体"/>
        </w:rPr>
        <w:t>应派遣资深技术人员在本项目的现场追踪所提供设备的运行性能。需要时，应设计并执行修改，以保证在正常维护条件下完成规定的服务。</w:t>
      </w:r>
      <w:r>
        <w:rPr>
          <w:rFonts w:hint="eastAsia" w:ascii="宋体" w:hAnsi="宋体"/>
          <w:lang w:eastAsia="zh-CN"/>
        </w:rPr>
        <w:t>供应商</w:t>
      </w:r>
      <w:r>
        <w:rPr>
          <w:rFonts w:hint="eastAsia" w:ascii="宋体" w:hAnsi="宋体"/>
        </w:rPr>
        <w:t>应在投标文件中说明保证期内的保证措施、人员配备情况、备品备件情况、人员服务地点等。</w:t>
      </w:r>
    </w:p>
    <w:p w14:paraId="4AFDA98A">
      <w:pPr>
        <w:spacing w:line="360" w:lineRule="auto"/>
        <w:ind w:firstLine="560"/>
        <w:rPr>
          <w:rFonts w:hint="eastAsia" w:ascii="宋体" w:hAnsi="宋体"/>
        </w:rPr>
      </w:pPr>
      <w:r>
        <w:rPr>
          <w:rFonts w:hint="eastAsia" w:ascii="宋体" w:hAnsi="宋体"/>
        </w:rPr>
        <w:t>在质量保证期内，如果</w:t>
      </w:r>
      <w:r>
        <w:rPr>
          <w:rFonts w:hint="eastAsia" w:ascii="宋体" w:hAnsi="宋体"/>
          <w:lang w:eastAsia="zh-CN"/>
        </w:rPr>
        <w:t>供应商</w:t>
      </w:r>
      <w:r>
        <w:rPr>
          <w:rFonts w:hint="eastAsia" w:ascii="宋体" w:hAnsi="宋体"/>
        </w:rPr>
        <w:t>收到招标人的通知后10天内未能开始对设备的故障和缺陷进行修改、替换或修理损坏的材料、部件和工艺，则招标人可自行选择修改、替换或修理损坏的材料、部件和工艺。由招标人完成的、</w:t>
      </w:r>
      <w:r>
        <w:rPr>
          <w:rFonts w:hint="eastAsia" w:ascii="宋体" w:hAnsi="宋体"/>
          <w:lang w:eastAsia="zh-CN"/>
        </w:rPr>
        <w:t>供应商</w:t>
      </w:r>
      <w:r>
        <w:rPr>
          <w:rFonts w:hint="eastAsia" w:ascii="宋体" w:hAnsi="宋体"/>
        </w:rPr>
        <w:t>保修项下的损坏的修改、替换和修理的费用由</w:t>
      </w:r>
      <w:r>
        <w:rPr>
          <w:rFonts w:hint="eastAsia" w:ascii="宋体" w:hAnsi="宋体"/>
          <w:lang w:eastAsia="zh-CN"/>
        </w:rPr>
        <w:t>供应商</w:t>
      </w:r>
      <w:r>
        <w:rPr>
          <w:rFonts w:hint="eastAsia" w:ascii="宋体" w:hAnsi="宋体"/>
        </w:rPr>
        <w:t>负责。在任何情况下，由招标人完成的修改、替换或修理并不解除</w:t>
      </w:r>
      <w:r>
        <w:rPr>
          <w:rFonts w:hint="eastAsia" w:ascii="宋体" w:hAnsi="宋体"/>
          <w:lang w:eastAsia="zh-CN"/>
        </w:rPr>
        <w:t>供应商</w:t>
      </w:r>
      <w:r>
        <w:rPr>
          <w:rFonts w:hint="eastAsia" w:ascii="宋体" w:hAnsi="宋体"/>
        </w:rPr>
        <w:t>的任何责任。</w:t>
      </w:r>
    </w:p>
    <w:p w14:paraId="005E0075">
      <w:pPr>
        <w:spacing w:line="360" w:lineRule="auto"/>
        <w:ind w:firstLine="560"/>
        <w:rPr>
          <w:rFonts w:hint="eastAsia" w:ascii="宋体" w:hAnsi="宋体"/>
        </w:rPr>
      </w:pPr>
      <w:r>
        <w:rPr>
          <w:rFonts w:hint="eastAsia" w:ascii="宋体" w:hAnsi="宋体"/>
        </w:rPr>
        <w:t>24个月质保期内主要工作内容如下（但不限于此）：</w:t>
      </w:r>
    </w:p>
    <w:p w14:paraId="31443C81">
      <w:pPr>
        <w:spacing w:line="360" w:lineRule="auto"/>
        <w:ind w:firstLine="560"/>
        <w:rPr>
          <w:rFonts w:hint="eastAsia" w:ascii="宋体" w:hAnsi="宋体"/>
        </w:rPr>
      </w:pPr>
      <w:r>
        <w:rPr>
          <w:rFonts w:hint="eastAsia" w:ascii="宋体" w:hAnsi="宋体"/>
        </w:rPr>
        <w:t>1）定期检查</w:t>
      </w:r>
    </w:p>
    <w:p w14:paraId="21D1FCF4">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应每半年对设备的工作情况作一次全面检查，内容至少应包括故障次数、类型、处理方法及效果、润滑情况及安全装置状态等，并向招标人提交设备评估报告。</w:t>
      </w:r>
    </w:p>
    <w:p w14:paraId="0FE1E792">
      <w:pPr>
        <w:spacing w:line="360" w:lineRule="auto"/>
        <w:ind w:firstLine="560"/>
        <w:rPr>
          <w:rFonts w:hint="eastAsia" w:ascii="宋体" w:hAnsi="宋体"/>
        </w:rPr>
      </w:pPr>
      <w:r>
        <w:rPr>
          <w:rFonts w:hint="eastAsia" w:ascii="宋体" w:hAnsi="宋体"/>
        </w:rPr>
        <w:t>2）故障修理</w:t>
      </w:r>
    </w:p>
    <w:p w14:paraId="687D9817">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应及时排除故障，进行必要的修理，无偿更换非人为损坏或不能正常工作的部件，这类服务必须每周七天，每天24小时内随时提供，并须在接到招标人通知24小时内到达现场。</w:t>
      </w:r>
    </w:p>
    <w:p w14:paraId="35409235">
      <w:pPr>
        <w:spacing w:line="360" w:lineRule="auto"/>
        <w:ind w:firstLine="560"/>
        <w:rPr>
          <w:rFonts w:hint="eastAsia" w:ascii="宋体" w:hAnsi="宋体"/>
        </w:rPr>
      </w:pPr>
      <w:r>
        <w:rPr>
          <w:rFonts w:hint="eastAsia" w:ascii="宋体" w:hAnsi="宋体"/>
        </w:rPr>
        <w:t>（2）所有更换的零件，必须是原厂标准生产的零件。对于在质保期内找到的缺陷或其它过失而进行的修理或更换的零件，其质保期自动延长24个月。</w:t>
      </w:r>
    </w:p>
    <w:p w14:paraId="0935CBA8">
      <w:pPr>
        <w:spacing w:line="360" w:lineRule="auto"/>
        <w:ind w:firstLine="560"/>
        <w:rPr>
          <w:rFonts w:hint="eastAsia" w:ascii="宋体" w:hAnsi="宋体"/>
        </w:rPr>
      </w:pPr>
      <w:r>
        <w:rPr>
          <w:rFonts w:hint="eastAsia" w:ascii="宋体" w:hAnsi="宋体"/>
        </w:rPr>
        <w:t>（3）</w:t>
      </w:r>
      <w:r>
        <w:rPr>
          <w:rFonts w:hint="eastAsia" w:ascii="宋体" w:hAnsi="宋体"/>
          <w:lang w:eastAsia="zh-CN"/>
        </w:rPr>
        <w:t>供应商</w:t>
      </w:r>
      <w:r>
        <w:rPr>
          <w:rFonts w:hint="eastAsia" w:ascii="宋体" w:hAnsi="宋体"/>
        </w:rPr>
        <w:t>应选派经验丰富的维修人员到现场作维修保养服务。</w:t>
      </w:r>
    </w:p>
    <w:p w14:paraId="6FD29BAF">
      <w:pPr>
        <w:spacing w:line="360" w:lineRule="auto"/>
        <w:ind w:firstLine="560"/>
        <w:rPr>
          <w:rFonts w:hint="eastAsia" w:ascii="宋体" w:hAnsi="宋体"/>
        </w:rPr>
      </w:pPr>
      <w:r>
        <w:rPr>
          <w:rFonts w:hint="eastAsia" w:ascii="宋体" w:hAnsi="宋体"/>
        </w:rPr>
        <w:t>1）维修保养人员应有中国国家规定的相关资质。</w:t>
      </w:r>
    </w:p>
    <w:p w14:paraId="7DAB767E">
      <w:pPr>
        <w:spacing w:line="360" w:lineRule="auto"/>
        <w:ind w:firstLine="560"/>
        <w:rPr>
          <w:rFonts w:hint="eastAsia" w:ascii="宋体" w:hAnsi="宋体"/>
        </w:rPr>
      </w:pPr>
      <w:r>
        <w:rPr>
          <w:rFonts w:hint="eastAsia" w:ascii="宋体" w:hAnsi="宋体"/>
        </w:rPr>
        <w:t>2）维修保养主要技术负责人应有5年以上的维修保养经验。</w:t>
      </w:r>
    </w:p>
    <w:p w14:paraId="35EDAB99">
      <w:pPr>
        <w:spacing w:line="360" w:lineRule="auto"/>
        <w:ind w:firstLine="560"/>
        <w:rPr>
          <w:rFonts w:hint="eastAsia" w:ascii="宋体" w:hAnsi="宋体"/>
        </w:rPr>
      </w:pPr>
      <w:r>
        <w:rPr>
          <w:rFonts w:hint="eastAsia" w:ascii="宋体" w:hAnsi="宋体"/>
        </w:rPr>
        <w:t>3）维修保养人员应有维修保养过与本合同同类设备的经验。</w:t>
      </w:r>
    </w:p>
    <w:p w14:paraId="79DCCEBE">
      <w:pPr>
        <w:spacing w:line="360" w:lineRule="auto"/>
        <w:ind w:firstLine="560"/>
        <w:rPr>
          <w:rFonts w:hint="eastAsia" w:ascii="宋体" w:hAnsi="宋体"/>
        </w:rPr>
      </w:pPr>
      <w:r>
        <w:rPr>
          <w:rFonts w:hint="eastAsia" w:ascii="宋体" w:hAnsi="宋体"/>
        </w:rPr>
        <w:t>4）</w:t>
      </w:r>
      <w:r>
        <w:rPr>
          <w:rFonts w:hint="eastAsia" w:ascii="宋体" w:hAnsi="宋体"/>
          <w:lang w:eastAsia="zh-CN"/>
        </w:rPr>
        <w:t>供应商</w:t>
      </w:r>
      <w:r>
        <w:rPr>
          <w:rFonts w:hint="eastAsia" w:ascii="宋体" w:hAnsi="宋体"/>
        </w:rPr>
        <w:t>须提供相关维修保养人员的名单以及过去的工作经历介绍，招标人有权核实其真实性。</w:t>
      </w:r>
    </w:p>
    <w:p w14:paraId="26F437C6">
      <w:pPr>
        <w:spacing w:line="360" w:lineRule="auto"/>
        <w:ind w:firstLine="560"/>
        <w:rPr>
          <w:rFonts w:hint="eastAsia" w:ascii="宋体" w:hAnsi="宋体"/>
        </w:rPr>
      </w:pPr>
      <w:r>
        <w:rPr>
          <w:rFonts w:hint="eastAsia" w:ascii="宋体" w:hAnsi="宋体"/>
        </w:rPr>
        <w:t>5）</w:t>
      </w:r>
      <w:r>
        <w:rPr>
          <w:rFonts w:hint="eastAsia" w:ascii="宋体" w:hAnsi="宋体"/>
          <w:lang w:eastAsia="zh-CN"/>
        </w:rPr>
        <w:t>供应商</w:t>
      </w:r>
      <w:r>
        <w:rPr>
          <w:rFonts w:hint="eastAsia" w:ascii="宋体" w:hAnsi="宋体"/>
        </w:rPr>
        <w:t>在对合同设备作维修保养时维修人员发生人身伤亡事故由</w:t>
      </w:r>
      <w:r>
        <w:rPr>
          <w:rFonts w:hint="eastAsia" w:ascii="宋体" w:hAnsi="宋体"/>
          <w:lang w:eastAsia="zh-CN"/>
        </w:rPr>
        <w:t>供应商</w:t>
      </w:r>
      <w:r>
        <w:rPr>
          <w:rFonts w:hint="eastAsia" w:ascii="宋体" w:hAnsi="宋体"/>
        </w:rPr>
        <w:t>自行承担。</w:t>
      </w:r>
    </w:p>
    <w:p w14:paraId="020C7E60">
      <w:pPr>
        <w:spacing w:line="360" w:lineRule="auto"/>
        <w:ind w:firstLine="560"/>
        <w:rPr>
          <w:rFonts w:hint="eastAsia" w:ascii="宋体" w:hAnsi="宋体"/>
        </w:rPr>
      </w:pPr>
      <w:r>
        <w:rPr>
          <w:rFonts w:hint="eastAsia" w:ascii="宋体" w:hAnsi="宋体"/>
        </w:rPr>
        <w:t>（4）</w:t>
      </w:r>
      <w:r>
        <w:rPr>
          <w:rFonts w:hint="eastAsia" w:ascii="宋体" w:hAnsi="宋体"/>
          <w:lang w:eastAsia="zh-CN"/>
        </w:rPr>
        <w:t>供应商</w:t>
      </w:r>
      <w:r>
        <w:rPr>
          <w:rFonts w:hint="eastAsia" w:ascii="宋体" w:hAnsi="宋体"/>
        </w:rPr>
        <w:t>应提供维修保养用的全部设备图纸，维修保养手册和说明文件等资料。</w:t>
      </w:r>
    </w:p>
    <w:p w14:paraId="3458DB61">
      <w:pPr>
        <w:spacing w:line="360" w:lineRule="auto"/>
        <w:ind w:firstLine="560"/>
        <w:rPr>
          <w:rFonts w:hint="eastAsia" w:ascii="宋体" w:hAnsi="宋体"/>
        </w:rPr>
      </w:pPr>
      <w:r>
        <w:rPr>
          <w:rFonts w:hint="eastAsia" w:ascii="宋体" w:hAnsi="宋体"/>
        </w:rPr>
        <w:t>（5）质保期的维修保养工作应全部由</w:t>
      </w:r>
      <w:r>
        <w:rPr>
          <w:rFonts w:hint="eastAsia" w:ascii="宋体" w:hAnsi="宋体"/>
          <w:lang w:eastAsia="zh-CN"/>
        </w:rPr>
        <w:t>供应商</w:t>
      </w:r>
      <w:r>
        <w:rPr>
          <w:rFonts w:hint="eastAsia" w:ascii="宋体" w:hAnsi="宋体"/>
        </w:rPr>
        <w:t>直接完成，</w:t>
      </w:r>
      <w:r>
        <w:rPr>
          <w:rFonts w:hint="eastAsia" w:ascii="宋体" w:hAnsi="宋体"/>
          <w:lang w:eastAsia="zh-CN"/>
        </w:rPr>
        <w:t>供应商</w:t>
      </w:r>
      <w:r>
        <w:rPr>
          <w:rFonts w:hint="eastAsia" w:ascii="宋体" w:hAnsi="宋体"/>
        </w:rPr>
        <w:t>应在投标文件中提供其有足够能力进行保养和维修工作的证明。</w:t>
      </w:r>
    </w:p>
    <w:p w14:paraId="4FE4DC0D">
      <w:pPr>
        <w:spacing w:line="360" w:lineRule="auto"/>
        <w:ind w:firstLine="560"/>
        <w:rPr>
          <w:rFonts w:hint="eastAsia" w:ascii="宋体" w:hAnsi="宋体"/>
        </w:rPr>
      </w:pPr>
      <w:r>
        <w:rPr>
          <w:rFonts w:hint="eastAsia" w:ascii="宋体" w:hAnsi="宋体"/>
        </w:rPr>
        <w:t>（6）设备投入运营后，在维护时间上要服从招标人或运营公司的安排。</w:t>
      </w:r>
    </w:p>
    <w:p w14:paraId="19DAB7F7">
      <w:pPr>
        <w:spacing w:line="360" w:lineRule="auto"/>
        <w:ind w:firstLine="560"/>
        <w:rPr>
          <w:rFonts w:hint="eastAsia" w:ascii="宋体" w:hAnsi="宋体"/>
          <w:bCs/>
        </w:rPr>
      </w:pPr>
      <w:r>
        <w:rPr>
          <w:rFonts w:hint="eastAsia" w:ascii="宋体" w:hAnsi="宋体"/>
          <w:bCs/>
        </w:rPr>
        <w:t>（7）在质保期内设备可靠度不能满足使用要求和国家标准的，乙方应进行无偿升级改造，对运营造成影响的由乙方负责相关后果。</w:t>
      </w:r>
    </w:p>
    <w:p w14:paraId="76D03F04">
      <w:pPr>
        <w:spacing w:line="360" w:lineRule="auto"/>
        <w:ind w:firstLine="560"/>
        <w:rPr>
          <w:rFonts w:hint="eastAsia" w:ascii="宋体" w:hAnsi="宋体"/>
          <w:bCs/>
        </w:rPr>
      </w:pPr>
      <w:r>
        <w:rPr>
          <w:rFonts w:hint="eastAsia" w:ascii="宋体" w:hAnsi="宋体"/>
          <w:bCs/>
        </w:rPr>
        <w:t>（8）若乙方发生质保期内不能履行售后服务、售后责任不到位、备品备件可靠度不能满足要求等情况，质保期将按实际需要进行延长。</w:t>
      </w:r>
    </w:p>
    <w:p w14:paraId="2E0E76D0">
      <w:pPr>
        <w:spacing w:line="360" w:lineRule="auto"/>
        <w:ind w:firstLine="560"/>
        <w:rPr>
          <w:rFonts w:hint="eastAsia" w:ascii="宋体" w:hAnsi="宋体"/>
        </w:rPr>
      </w:pPr>
      <w:r>
        <w:rPr>
          <w:rFonts w:hint="eastAsia" w:ascii="宋体" w:hAnsi="宋体"/>
        </w:rPr>
        <w:t>6.质保期后服务</w:t>
      </w:r>
    </w:p>
    <w:p w14:paraId="7BF0D4DD">
      <w:pPr>
        <w:spacing w:line="360" w:lineRule="auto"/>
        <w:ind w:firstLine="560"/>
        <w:rPr>
          <w:rFonts w:hint="eastAsia" w:ascii="宋体" w:hAnsi="宋体"/>
        </w:rPr>
      </w:pPr>
      <w:r>
        <w:rPr>
          <w:rFonts w:hint="eastAsia" w:ascii="宋体" w:hAnsi="宋体"/>
        </w:rPr>
        <w:t>在24个月质保期结束后，待所有遗留问题整改完毕并验收合格后，将进入为期5年的免费技术服务期（技术服务包括但不限于设备故障处理、设备评估、年度检测、软件升级等），该阶段主要工作内容包括：</w:t>
      </w:r>
      <w:r>
        <w:rPr>
          <w:rFonts w:hint="eastAsia" w:ascii="宋体" w:hAnsi="宋体"/>
          <w:lang w:eastAsia="zh-CN"/>
        </w:rPr>
        <w:t>供应商</w:t>
      </w:r>
      <w:r>
        <w:rPr>
          <w:rFonts w:hint="eastAsia" w:ascii="宋体" w:hAnsi="宋体"/>
        </w:rPr>
        <w:t>每年需委派投标方人员和供货商技术人员到现场检查1次设备状态及性能，每次2人*天，对当前设备运行存在问题提出建议，并将检查结果形成报告及时通报招标人和运营单位；因质量问题引起的设备维护及更换备品备件所产生的费用由</w:t>
      </w:r>
      <w:r>
        <w:rPr>
          <w:rFonts w:hint="eastAsia" w:ascii="宋体" w:hAnsi="宋体"/>
          <w:lang w:eastAsia="zh-CN"/>
        </w:rPr>
        <w:t>供应商</w:t>
      </w:r>
      <w:r>
        <w:rPr>
          <w:rFonts w:hint="eastAsia" w:ascii="宋体" w:hAnsi="宋体"/>
        </w:rPr>
        <w:t>负责，易损易耗件由运营单位负责；如设备出现故障，设备厂家应在24小时内到达现场，指导并配合排查故障，因产品质量原因发生的故障，备品备件由</w:t>
      </w:r>
      <w:r>
        <w:rPr>
          <w:rFonts w:hint="eastAsia" w:ascii="宋体" w:hAnsi="宋体"/>
          <w:lang w:eastAsia="zh-CN"/>
        </w:rPr>
        <w:t>供应商</w:t>
      </w:r>
      <w:r>
        <w:rPr>
          <w:rFonts w:hint="eastAsia" w:ascii="宋体" w:hAnsi="宋体"/>
        </w:rPr>
        <w:t>承担，易损易耗材料费用由运营单位负责；运营过程中如发生重大故障，施工单位及设备供应商应按照运营单位要求，及时到达现场给予技术支持。</w:t>
      </w:r>
    </w:p>
    <w:p w14:paraId="6123112D">
      <w:pPr>
        <w:spacing w:line="360" w:lineRule="auto"/>
        <w:ind w:firstLine="560"/>
        <w:rPr>
          <w:rFonts w:hint="eastAsia" w:ascii="宋体" w:hAnsi="宋体"/>
        </w:rPr>
      </w:pPr>
      <w:r>
        <w:rPr>
          <w:rFonts w:hint="eastAsia" w:ascii="宋体" w:hAnsi="宋体"/>
        </w:rPr>
        <w:t>（1）</w:t>
      </w:r>
      <w:r>
        <w:rPr>
          <w:rFonts w:hint="eastAsia" w:ascii="宋体" w:hAnsi="宋体"/>
          <w:lang w:eastAsia="zh-CN"/>
        </w:rPr>
        <w:t>供应商</w:t>
      </w:r>
      <w:r>
        <w:rPr>
          <w:rFonts w:hint="eastAsia" w:ascii="宋体" w:hAnsi="宋体"/>
        </w:rPr>
        <w:t>的质保期后服务体系应完全按照ISO9000质量管理体系进行管理。</w:t>
      </w:r>
    </w:p>
    <w:p w14:paraId="1956E4F5">
      <w:pPr>
        <w:spacing w:line="360" w:lineRule="auto"/>
        <w:ind w:firstLine="560"/>
        <w:rPr>
          <w:rFonts w:hint="eastAsia" w:ascii="宋体" w:hAnsi="宋体"/>
        </w:rPr>
      </w:pPr>
      <w:r>
        <w:rPr>
          <w:rFonts w:hint="eastAsia" w:ascii="宋体" w:hAnsi="宋体"/>
        </w:rPr>
        <w:t>（2）</w:t>
      </w:r>
      <w:r>
        <w:rPr>
          <w:rFonts w:hint="eastAsia" w:ascii="宋体" w:hAnsi="宋体"/>
          <w:lang w:eastAsia="zh-CN"/>
        </w:rPr>
        <w:t>供应商</w:t>
      </w:r>
      <w:r>
        <w:rPr>
          <w:rFonts w:hint="eastAsia" w:ascii="宋体" w:hAnsi="宋体"/>
        </w:rPr>
        <w:t>应保证及时准确地对所提供的货物进行正常的维修保养。</w:t>
      </w:r>
    </w:p>
    <w:p w14:paraId="359A5D47">
      <w:pPr>
        <w:spacing w:line="360" w:lineRule="auto"/>
        <w:ind w:firstLine="560"/>
        <w:rPr>
          <w:rFonts w:hint="eastAsia" w:ascii="宋体" w:hAnsi="宋体"/>
        </w:rPr>
      </w:pPr>
      <w:r>
        <w:rPr>
          <w:rFonts w:hint="eastAsia" w:ascii="宋体" w:hAnsi="宋体"/>
        </w:rPr>
        <w:t>（3）在设备投入使用后，</w:t>
      </w:r>
      <w:r>
        <w:rPr>
          <w:rFonts w:hint="eastAsia" w:ascii="宋体" w:hAnsi="宋体"/>
          <w:lang w:eastAsia="zh-CN"/>
        </w:rPr>
        <w:t>供应商</w:t>
      </w:r>
      <w:r>
        <w:rPr>
          <w:rFonts w:hint="eastAsia" w:ascii="宋体" w:hAnsi="宋体"/>
        </w:rPr>
        <w:t>应定期派专员回访，了解设备的运行情况。</w:t>
      </w:r>
    </w:p>
    <w:p w14:paraId="7DF93133">
      <w:pPr>
        <w:spacing w:line="360" w:lineRule="auto"/>
        <w:ind w:firstLine="560"/>
        <w:rPr>
          <w:rFonts w:hint="eastAsia" w:ascii="宋体" w:hAnsi="宋体"/>
        </w:rPr>
      </w:pPr>
      <w:r>
        <w:rPr>
          <w:rFonts w:hint="eastAsia" w:ascii="宋体" w:hAnsi="宋体"/>
        </w:rPr>
        <w:t>（4）</w:t>
      </w:r>
      <w:r>
        <w:rPr>
          <w:rFonts w:hint="eastAsia" w:ascii="宋体" w:hAnsi="宋体"/>
          <w:lang w:eastAsia="zh-CN"/>
        </w:rPr>
        <w:t>供应商</w:t>
      </w:r>
      <w:r>
        <w:rPr>
          <w:rFonts w:hint="eastAsia" w:ascii="宋体" w:hAnsi="宋体"/>
        </w:rPr>
        <w:t>应保证长期按优惠价格供应所提供货物的元器件及各种备件。</w:t>
      </w:r>
    </w:p>
    <w:p w14:paraId="5BE16B82">
      <w:pPr>
        <w:spacing w:line="360" w:lineRule="auto"/>
        <w:ind w:firstLine="560"/>
        <w:rPr>
          <w:rFonts w:hint="eastAsia" w:ascii="宋体" w:hAnsi="宋体"/>
        </w:rPr>
      </w:pPr>
      <w:r>
        <w:rPr>
          <w:rFonts w:hint="eastAsia" w:ascii="宋体" w:hAnsi="宋体"/>
        </w:rPr>
        <w:t>（5）</w:t>
      </w:r>
      <w:r>
        <w:rPr>
          <w:rFonts w:hint="eastAsia" w:ascii="宋体" w:hAnsi="宋体"/>
          <w:lang w:eastAsia="zh-CN"/>
        </w:rPr>
        <w:t>供应商</w:t>
      </w:r>
      <w:r>
        <w:rPr>
          <w:rFonts w:hint="eastAsia" w:ascii="宋体" w:hAnsi="宋体"/>
        </w:rPr>
        <w:t>必须在投标文件中提出长期的支持方案，特别是关键设备技术更新的支持方案。</w:t>
      </w:r>
    </w:p>
    <w:p w14:paraId="71E64F56">
      <w:pPr>
        <w:spacing w:line="360" w:lineRule="auto"/>
        <w:ind w:firstLine="560"/>
        <w:rPr>
          <w:rFonts w:hint="eastAsia" w:ascii="宋体" w:hAnsi="宋体"/>
        </w:rPr>
      </w:pPr>
      <w:r>
        <w:rPr>
          <w:rFonts w:hint="eastAsia" w:ascii="宋体" w:hAnsi="宋体"/>
        </w:rPr>
        <w:t>（6）</w:t>
      </w:r>
      <w:r>
        <w:rPr>
          <w:rFonts w:hint="eastAsia" w:ascii="宋体" w:hAnsi="宋体"/>
          <w:lang w:eastAsia="zh-CN"/>
        </w:rPr>
        <w:t>供应商</w:t>
      </w:r>
      <w:r>
        <w:rPr>
          <w:rFonts w:hint="eastAsia" w:ascii="宋体" w:hAnsi="宋体"/>
        </w:rPr>
        <w:t>在设备生命周期内将对所提供的软件进行终身质保，若是由于软件缺陷导致的故障，</w:t>
      </w:r>
      <w:r>
        <w:rPr>
          <w:rFonts w:hint="eastAsia" w:ascii="宋体" w:hAnsi="宋体"/>
          <w:lang w:eastAsia="zh-CN"/>
        </w:rPr>
        <w:t>供应商</w:t>
      </w:r>
      <w:r>
        <w:rPr>
          <w:rFonts w:hint="eastAsia" w:ascii="宋体" w:hAnsi="宋体"/>
        </w:rPr>
        <w:t>将负责免费诊断和处理，本项目涉及的软件，</w:t>
      </w:r>
      <w:r>
        <w:rPr>
          <w:rFonts w:hint="eastAsia" w:ascii="宋体" w:hAnsi="宋体"/>
          <w:lang w:eastAsia="zh-CN"/>
        </w:rPr>
        <w:t>供应商</w:t>
      </w:r>
      <w:r>
        <w:rPr>
          <w:rFonts w:hint="eastAsia" w:ascii="宋体" w:hAnsi="宋体"/>
        </w:rPr>
        <w:t>须提供可编辑的源代码，源代码所有权归招标人所有。</w:t>
      </w:r>
    </w:p>
    <w:p w14:paraId="2B7E92C6">
      <w:pPr>
        <w:spacing w:line="360" w:lineRule="auto"/>
        <w:ind w:firstLine="560"/>
        <w:rPr>
          <w:rFonts w:hint="eastAsia" w:ascii="宋体" w:hAnsi="宋体"/>
        </w:rPr>
      </w:pPr>
      <w:r>
        <w:rPr>
          <w:rFonts w:hint="eastAsia" w:ascii="宋体" w:hAnsi="宋体"/>
        </w:rPr>
        <w:t>（7） 针对招标人每次技术支持请求，</w:t>
      </w:r>
      <w:r>
        <w:rPr>
          <w:rFonts w:hint="eastAsia" w:ascii="宋体" w:hAnsi="宋体"/>
          <w:lang w:eastAsia="zh-CN"/>
        </w:rPr>
        <w:t>供应商</w:t>
      </w:r>
      <w:r>
        <w:rPr>
          <w:rFonts w:hint="eastAsia" w:ascii="宋体" w:hAnsi="宋体"/>
        </w:rPr>
        <w:t>应承诺在24小时内给予回应并完全解决，针对部分须返厂维修的设备及器件，</w:t>
      </w:r>
      <w:r>
        <w:rPr>
          <w:rFonts w:hint="eastAsia" w:ascii="宋体" w:hAnsi="宋体"/>
          <w:lang w:eastAsia="zh-CN"/>
        </w:rPr>
        <w:t>供应商</w:t>
      </w:r>
      <w:r>
        <w:rPr>
          <w:rFonts w:hint="eastAsia" w:ascii="宋体" w:hAnsi="宋体"/>
        </w:rPr>
        <w:t>应在15天内给予完成；须</w:t>
      </w:r>
      <w:r>
        <w:rPr>
          <w:rFonts w:hint="eastAsia" w:ascii="宋体" w:hAnsi="宋体"/>
          <w:lang w:eastAsia="zh-CN"/>
        </w:rPr>
        <w:t>供应商</w:t>
      </w:r>
      <w:r>
        <w:rPr>
          <w:rFonts w:hint="eastAsia" w:ascii="宋体" w:hAnsi="宋体"/>
        </w:rPr>
        <w:t>提供现场技术支持时，</w:t>
      </w:r>
      <w:r>
        <w:rPr>
          <w:rFonts w:hint="eastAsia" w:ascii="宋体" w:hAnsi="宋体"/>
          <w:lang w:eastAsia="zh-CN"/>
        </w:rPr>
        <w:t>供应商</w:t>
      </w:r>
      <w:r>
        <w:rPr>
          <w:rFonts w:hint="eastAsia" w:ascii="宋体" w:hAnsi="宋体"/>
        </w:rPr>
        <w:t>须按照招标人约定的时间派技术人员到达现场，实施技术支持，</w:t>
      </w:r>
      <w:r>
        <w:rPr>
          <w:rFonts w:hint="eastAsia" w:ascii="宋体" w:hAnsi="宋体"/>
          <w:lang w:eastAsia="zh-CN"/>
        </w:rPr>
        <w:t>供应商</w:t>
      </w:r>
      <w:r>
        <w:rPr>
          <w:rFonts w:hint="eastAsia" w:ascii="宋体" w:hAnsi="宋体"/>
        </w:rPr>
        <w:t>派遣现场的工程技术人员到达现场后，须在规定的时间内，解决招标人遇到的技术问题，如不能解决招标人和运营单位遇到的技术问题时，招标人和运营单位有权要求更换技术人员并考核</w:t>
      </w:r>
      <w:r>
        <w:rPr>
          <w:rFonts w:hint="eastAsia" w:ascii="宋体" w:hAnsi="宋体"/>
          <w:lang w:eastAsia="zh-CN"/>
        </w:rPr>
        <w:t>供应商</w:t>
      </w:r>
      <w:r>
        <w:rPr>
          <w:rFonts w:hint="eastAsia" w:ascii="宋体" w:hAnsi="宋体"/>
        </w:rPr>
        <w:t>。</w:t>
      </w:r>
    </w:p>
    <w:p w14:paraId="31D18B93">
      <w:pPr>
        <w:spacing w:line="360" w:lineRule="auto"/>
        <w:ind w:firstLine="630" w:firstLineChars="300"/>
        <w:rPr>
          <w:rFonts w:hint="eastAsia" w:ascii="宋体" w:hAnsi="宋体"/>
        </w:rPr>
      </w:pPr>
      <w:r>
        <w:rPr>
          <w:rFonts w:hint="eastAsia" w:ascii="宋体" w:hAnsi="宋体"/>
        </w:rPr>
        <w:t>（8）</w:t>
      </w:r>
      <w:r>
        <w:rPr>
          <w:rFonts w:hint="eastAsia" w:ascii="宋体" w:hAnsi="宋体"/>
          <w:lang w:eastAsia="zh-CN"/>
        </w:rPr>
        <w:t>供应商</w:t>
      </w:r>
      <w:r>
        <w:rPr>
          <w:rFonts w:hint="eastAsia" w:ascii="宋体" w:hAnsi="宋体"/>
        </w:rPr>
        <w:t>所有担任维护支持工作的员工应遵守招标人所确定安全作业程序，并按招标人要求进行培训和参加有关考试，合格后方可上岗工作，招标人将免费提供有关课程。若学员考试不及格，招标人有权向</w:t>
      </w:r>
      <w:r>
        <w:rPr>
          <w:rFonts w:hint="eastAsia" w:ascii="宋体" w:hAnsi="宋体"/>
          <w:lang w:eastAsia="zh-CN"/>
        </w:rPr>
        <w:t>供应商</w:t>
      </w:r>
      <w:r>
        <w:rPr>
          <w:rFonts w:hint="eastAsia" w:ascii="宋体" w:hAnsi="宋体"/>
        </w:rPr>
        <w:t>索回有关课程费用。</w:t>
      </w:r>
    </w:p>
    <w:p w14:paraId="4EE4517B">
      <w:pPr>
        <w:spacing w:line="360" w:lineRule="auto"/>
        <w:ind w:firstLine="560"/>
        <w:rPr>
          <w:rFonts w:hint="eastAsia" w:ascii="宋体" w:hAnsi="宋体"/>
        </w:rPr>
      </w:pPr>
      <w:r>
        <w:rPr>
          <w:rFonts w:hint="eastAsia" w:ascii="宋体" w:hAnsi="宋体"/>
        </w:rPr>
        <w:t>（9）招标人将负责向</w:t>
      </w:r>
      <w:r>
        <w:rPr>
          <w:rFonts w:hint="eastAsia" w:ascii="宋体" w:hAnsi="宋体"/>
          <w:lang w:eastAsia="zh-CN"/>
        </w:rPr>
        <w:t>供应商</w:t>
      </w:r>
      <w:r>
        <w:rPr>
          <w:rFonts w:hint="eastAsia" w:ascii="宋体" w:hAnsi="宋体"/>
        </w:rPr>
        <w:t>在车辆段提供合理工作用房及物料储存空间，</w:t>
      </w:r>
      <w:r>
        <w:rPr>
          <w:rFonts w:hint="eastAsia" w:ascii="宋体" w:hAnsi="宋体"/>
          <w:lang w:eastAsia="zh-CN"/>
        </w:rPr>
        <w:t>供应商</w:t>
      </w:r>
      <w:r>
        <w:rPr>
          <w:rFonts w:hint="eastAsia" w:ascii="宋体" w:hAnsi="宋体"/>
        </w:rPr>
        <w:t>须负责这些地方的管理责任。招标人所提供维护用工作空间仅用于本项目维护之用，未经招标人同意</w:t>
      </w:r>
      <w:r>
        <w:rPr>
          <w:rFonts w:hint="eastAsia" w:ascii="宋体" w:hAnsi="宋体"/>
          <w:lang w:eastAsia="zh-CN"/>
        </w:rPr>
        <w:t>供应商</w:t>
      </w:r>
      <w:r>
        <w:rPr>
          <w:rFonts w:hint="eastAsia" w:ascii="宋体" w:hAnsi="宋体"/>
        </w:rPr>
        <w:t>不得改变其用途。</w:t>
      </w:r>
    </w:p>
    <w:p w14:paraId="2816B5AD">
      <w:pPr>
        <w:spacing w:line="360" w:lineRule="auto"/>
        <w:ind w:firstLine="560"/>
        <w:rPr>
          <w:rFonts w:hint="eastAsia" w:ascii="宋体" w:hAnsi="宋体"/>
        </w:rPr>
      </w:pPr>
      <w:r>
        <w:rPr>
          <w:rFonts w:hint="eastAsia" w:ascii="宋体" w:hAnsi="宋体"/>
        </w:rPr>
        <w:t>（10）</w:t>
      </w:r>
      <w:r>
        <w:rPr>
          <w:rFonts w:hint="eastAsia" w:ascii="宋体" w:hAnsi="宋体"/>
          <w:lang w:eastAsia="zh-CN"/>
        </w:rPr>
        <w:t>供应商</w:t>
      </w:r>
      <w:r>
        <w:rPr>
          <w:rFonts w:hint="eastAsia" w:ascii="宋体" w:hAnsi="宋体"/>
        </w:rPr>
        <w:t>须于每次工作后负责清理现场的物料、垃圾及剩余物资等，使工作地点保持整洁，符合招标人和运营单位的要求。</w:t>
      </w:r>
    </w:p>
    <w:p w14:paraId="0A446719">
      <w:pPr>
        <w:spacing w:line="360" w:lineRule="auto"/>
        <w:ind w:firstLine="560"/>
        <w:rPr>
          <w:rFonts w:hint="eastAsia" w:ascii="宋体" w:hAnsi="宋体"/>
          <w:bCs/>
        </w:rPr>
      </w:pPr>
      <w:r>
        <w:rPr>
          <w:rFonts w:hint="eastAsia" w:ascii="宋体" w:hAnsi="宋体"/>
        </w:rPr>
        <w:t>（11）</w:t>
      </w:r>
      <w:r>
        <w:rPr>
          <w:rFonts w:hint="eastAsia" w:ascii="宋体" w:hAnsi="宋体"/>
          <w:lang w:eastAsia="zh-CN"/>
        </w:rPr>
        <w:t>供应商</w:t>
      </w:r>
      <w:r>
        <w:rPr>
          <w:rFonts w:hint="eastAsia" w:ascii="宋体" w:hAnsi="宋体"/>
        </w:rPr>
        <w:t>应</w:t>
      </w:r>
      <w:r>
        <w:rPr>
          <w:rFonts w:hint="eastAsia" w:ascii="宋体" w:hAnsi="宋体"/>
          <w:bCs/>
        </w:rPr>
        <w:t>免费提供因质量问题更换的故障件，不得影响运营，运营单位负责自行采购易损易耗件及维修物资。</w:t>
      </w:r>
    </w:p>
    <w:p w14:paraId="7D33D4DD">
      <w:pPr>
        <w:spacing w:line="360" w:lineRule="auto"/>
        <w:ind w:firstLine="560"/>
        <w:rPr>
          <w:rFonts w:hint="eastAsia" w:ascii="宋体" w:hAnsi="宋体"/>
          <w:bCs/>
        </w:rPr>
      </w:pPr>
      <w:r>
        <w:rPr>
          <w:rFonts w:hint="eastAsia" w:ascii="宋体" w:hAnsi="宋体"/>
          <w:bCs/>
        </w:rPr>
        <w:t>（12）对于延保期超出合同内各系统RAMS指标的部件，</w:t>
      </w:r>
      <w:r>
        <w:rPr>
          <w:rFonts w:hint="eastAsia" w:ascii="宋体" w:hAnsi="宋体"/>
          <w:bCs/>
          <w:lang w:eastAsia="zh-CN"/>
        </w:rPr>
        <w:t>供应商</w:t>
      </w:r>
      <w:r>
        <w:rPr>
          <w:rFonts w:hint="eastAsia" w:ascii="宋体" w:hAnsi="宋体"/>
          <w:bCs/>
        </w:rPr>
        <w:t>需组织重新选型，并免费进行升级改造。</w:t>
      </w:r>
    </w:p>
    <w:p w14:paraId="487A179F">
      <w:pPr>
        <w:spacing w:line="360" w:lineRule="auto"/>
        <w:ind w:firstLine="560"/>
        <w:rPr>
          <w:rFonts w:hint="eastAsia" w:ascii="宋体" w:hAnsi="宋体"/>
          <w:bCs/>
        </w:rPr>
      </w:pPr>
      <w:r>
        <w:rPr>
          <w:rFonts w:hint="eastAsia" w:ascii="宋体" w:hAnsi="宋体"/>
          <w:bCs/>
        </w:rPr>
        <w:t>（13）与运营单位同类型产品若在其它地铁发生责任事件时，</w:t>
      </w:r>
      <w:r>
        <w:rPr>
          <w:rFonts w:hint="eastAsia" w:ascii="宋体" w:hAnsi="宋体"/>
          <w:bCs/>
          <w:lang w:eastAsia="zh-CN"/>
        </w:rPr>
        <w:t>供应商</w:t>
      </w:r>
      <w:r>
        <w:rPr>
          <w:rFonts w:hint="eastAsia" w:ascii="宋体" w:hAnsi="宋体"/>
          <w:bCs/>
        </w:rPr>
        <w:t>需免费对运营单位产品进行升级改造。</w:t>
      </w:r>
    </w:p>
    <w:p w14:paraId="0EE919FD">
      <w:pPr>
        <w:spacing w:line="360" w:lineRule="auto"/>
        <w:ind w:firstLine="560"/>
        <w:rPr>
          <w:rFonts w:hint="eastAsia" w:ascii="宋体" w:hAnsi="宋体"/>
          <w:bCs/>
        </w:rPr>
      </w:pPr>
      <w:r>
        <w:rPr>
          <w:rFonts w:hint="eastAsia" w:ascii="宋体" w:hAnsi="宋体"/>
          <w:bCs/>
        </w:rPr>
        <w:t>（14）24个月质保期和60个月技术支持服务期间设备若发生影响较大的故障，且需第三方认证机构介入的，需由</w:t>
      </w:r>
      <w:r>
        <w:rPr>
          <w:rFonts w:hint="eastAsia" w:ascii="宋体" w:hAnsi="宋体"/>
          <w:bCs/>
          <w:lang w:eastAsia="zh-CN"/>
        </w:rPr>
        <w:t>供应商</w:t>
      </w:r>
      <w:r>
        <w:rPr>
          <w:rFonts w:hint="eastAsia" w:ascii="宋体" w:hAnsi="宋体"/>
          <w:bCs/>
        </w:rPr>
        <w:t>负责组织鉴定，费用由</w:t>
      </w:r>
      <w:r>
        <w:rPr>
          <w:rFonts w:hint="eastAsia" w:ascii="宋体" w:hAnsi="宋体"/>
          <w:bCs/>
          <w:lang w:eastAsia="zh-CN"/>
        </w:rPr>
        <w:t>供应商</w:t>
      </w:r>
      <w:r>
        <w:rPr>
          <w:rFonts w:hint="eastAsia" w:ascii="宋体" w:hAnsi="宋体"/>
          <w:bCs/>
        </w:rPr>
        <w:t>承担。</w:t>
      </w:r>
    </w:p>
    <w:p w14:paraId="1F96AF9E">
      <w:pPr>
        <w:spacing w:line="360" w:lineRule="auto"/>
        <w:ind w:firstLine="560"/>
        <w:rPr>
          <w:rFonts w:hint="eastAsia" w:ascii="宋体" w:hAnsi="宋体"/>
          <w:bCs/>
        </w:rPr>
      </w:pPr>
      <w:r>
        <w:rPr>
          <w:rFonts w:hint="eastAsia" w:ascii="宋体" w:hAnsi="宋体"/>
          <w:bCs/>
        </w:rPr>
        <w:t>（15）</w:t>
      </w:r>
      <w:r>
        <w:rPr>
          <w:rFonts w:hint="eastAsia" w:ascii="宋体" w:hAnsi="宋体"/>
          <w:bCs/>
          <w:lang w:eastAsia="zh-CN"/>
        </w:rPr>
        <w:t>供应商</w:t>
      </w:r>
      <w:r>
        <w:rPr>
          <w:rFonts w:hint="eastAsia" w:ascii="宋体" w:hAnsi="宋体"/>
          <w:bCs/>
        </w:rPr>
        <w:t>应提供技术支持和备品备件的长期供货承诺，当某些零部件的型号停产后，</w:t>
      </w:r>
      <w:r>
        <w:rPr>
          <w:rFonts w:hint="eastAsia" w:ascii="宋体" w:hAnsi="宋体"/>
          <w:bCs/>
          <w:lang w:eastAsia="zh-CN"/>
        </w:rPr>
        <w:t>供应商</w:t>
      </w:r>
      <w:r>
        <w:rPr>
          <w:rFonts w:hint="eastAsia" w:ascii="宋体" w:hAnsi="宋体"/>
          <w:bCs/>
        </w:rPr>
        <w:t>必须协助运营单位找到替代品或提供至少三个（或至少15年）备件生命周期的零部件（同等规格的零部件价格以合同价为准，未经运营单位同意</w:t>
      </w:r>
      <w:r>
        <w:rPr>
          <w:rFonts w:hint="eastAsia" w:ascii="宋体" w:hAnsi="宋体"/>
          <w:bCs/>
          <w:lang w:eastAsia="zh-CN"/>
        </w:rPr>
        <w:t>供应商</w:t>
      </w:r>
      <w:r>
        <w:rPr>
          <w:rFonts w:hint="eastAsia" w:ascii="宋体" w:hAnsi="宋体"/>
          <w:bCs/>
        </w:rPr>
        <w:t>5年内不得擅自上调备件单价），并协助运营单位进行设备设施安全性、可靠性及可用性评估。</w:t>
      </w:r>
    </w:p>
    <w:p w14:paraId="72DBF66B">
      <w:pPr>
        <w:widowControl/>
        <w:spacing w:line="360" w:lineRule="auto"/>
        <w:ind w:firstLine="360"/>
        <w:jc w:val="left"/>
        <w:outlineLvl w:val="1"/>
        <w:rPr>
          <w:rFonts w:hint="eastAsia" w:ascii="宋体" w:hAnsi="宋体"/>
        </w:rPr>
      </w:pPr>
      <w:bookmarkStart w:id="161" w:name="_Toc12911"/>
      <w:bookmarkStart w:id="162" w:name="_Toc5018"/>
      <w:bookmarkStart w:id="163" w:name="_Toc5"/>
      <w:bookmarkStart w:id="164" w:name="_Toc2632"/>
      <w:bookmarkStart w:id="165" w:name="_Toc3006"/>
      <w:bookmarkStart w:id="166" w:name="_Toc5112190"/>
      <w:bookmarkStart w:id="167" w:name="_Toc30992"/>
      <w:bookmarkStart w:id="168" w:name="_Toc38273414"/>
      <w:r>
        <w:rPr>
          <w:rFonts w:hint="eastAsia" w:ascii="宋体" w:hAnsi="宋体"/>
        </w:rPr>
        <w:t>9.9培训</w:t>
      </w:r>
      <w:bookmarkEnd w:id="161"/>
      <w:bookmarkEnd w:id="162"/>
      <w:bookmarkEnd w:id="163"/>
      <w:bookmarkEnd w:id="164"/>
      <w:bookmarkEnd w:id="165"/>
      <w:bookmarkEnd w:id="166"/>
      <w:bookmarkEnd w:id="167"/>
      <w:bookmarkEnd w:id="168"/>
    </w:p>
    <w:p w14:paraId="7B8965A5">
      <w:pPr>
        <w:spacing w:line="360" w:lineRule="auto"/>
        <w:ind w:firstLine="560"/>
        <w:rPr>
          <w:rFonts w:hint="eastAsia" w:ascii="宋体" w:hAnsi="宋体"/>
        </w:rPr>
      </w:pPr>
      <w:r>
        <w:rPr>
          <w:rFonts w:hint="eastAsia" w:ascii="宋体" w:hAnsi="宋体"/>
        </w:rPr>
        <w:t>（1）培训计划和内容</w:t>
      </w:r>
    </w:p>
    <w:p w14:paraId="610D7808">
      <w:pPr>
        <w:spacing w:line="360" w:lineRule="auto"/>
        <w:ind w:firstLine="560"/>
        <w:rPr>
          <w:rFonts w:hint="eastAsia" w:ascii="宋体" w:hAnsi="宋体"/>
        </w:rPr>
      </w:pPr>
      <w:r>
        <w:rPr>
          <w:rFonts w:hint="eastAsia" w:ascii="宋体" w:hAnsi="宋体"/>
        </w:rPr>
        <w:t>1）</w:t>
      </w:r>
      <w:r>
        <w:rPr>
          <w:rFonts w:hint="eastAsia" w:ascii="宋体" w:hAnsi="宋体"/>
          <w:lang w:eastAsia="zh-CN"/>
        </w:rPr>
        <w:t>供应商</w:t>
      </w:r>
      <w:r>
        <w:rPr>
          <w:rFonts w:hint="eastAsia" w:ascii="宋体" w:hAnsi="宋体"/>
        </w:rPr>
        <w:t>所有的技术培训的安排均应服从招标人总的培训计划和内容的要求。</w:t>
      </w:r>
    </w:p>
    <w:p w14:paraId="5CC2A5F1">
      <w:pPr>
        <w:spacing w:line="360" w:lineRule="auto"/>
        <w:ind w:firstLine="560"/>
        <w:rPr>
          <w:rFonts w:hint="eastAsia" w:ascii="宋体" w:hAnsi="宋体"/>
        </w:rPr>
      </w:pPr>
      <w:r>
        <w:rPr>
          <w:rFonts w:hint="eastAsia" w:ascii="宋体" w:hAnsi="宋体"/>
        </w:rPr>
        <w:t>2）</w:t>
      </w:r>
      <w:r>
        <w:rPr>
          <w:rFonts w:hint="eastAsia" w:ascii="宋体" w:hAnsi="宋体"/>
          <w:lang w:eastAsia="zh-CN"/>
        </w:rPr>
        <w:t>供应商</w:t>
      </w:r>
      <w:r>
        <w:rPr>
          <w:rFonts w:hint="eastAsia" w:ascii="宋体" w:hAnsi="宋体"/>
        </w:rPr>
        <w:t>在开始培训前1个月，必须向招标人提交详细的培训计划，内容包括但不限于：</w:t>
      </w:r>
    </w:p>
    <w:p w14:paraId="326502FE">
      <w:pPr>
        <w:spacing w:line="360" w:lineRule="auto"/>
        <w:ind w:firstLine="560"/>
        <w:rPr>
          <w:rFonts w:hint="eastAsia" w:ascii="宋体" w:hAnsi="宋体"/>
        </w:rPr>
      </w:pPr>
      <w:r>
        <w:rPr>
          <w:rFonts w:hint="eastAsia" w:ascii="宋体" w:hAnsi="宋体"/>
        </w:rPr>
        <w:t>①培训的目标；</w:t>
      </w:r>
    </w:p>
    <w:p w14:paraId="68308816">
      <w:pPr>
        <w:spacing w:line="360" w:lineRule="auto"/>
        <w:ind w:firstLine="560"/>
        <w:rPr>
          <w:rFonts w:hint="eastAsia" w:ascii="宋体" w:hAnsi="宋体"/>
        </w:rPr>
      </w:pPr>
      <w:r>
        <w:rPr>
          <w:rFonts w:hint="eastAsia" w:ascii="宋体" w:hAnsi="宋体"/>
        </w:rPr>
        <w:t>②培训的内容；</w:t>
      </w:r>
    </w:p>
    <w:p w14:paraId="28E1AE94">
      <w:pPr>
        <w:spacing w:line="360" w:lineRule="auto"/>
        <w:ind w:firstLine="560"/>
        <w:rPr>
          <w:rFonts w:hint="eastAsia" w:ascii="宋体" w:hAnsi="宋体"/>
        </w:rPr>
      </w:pPr>
      <w:r>
        <w:rPr>
          <w:rFonts w:hint="eastAsia" w:ascii="宋体" w:hAnsi="宋体"/>
        </w:rPr>
        <w:t>③培训起止时间；</w:t>
      </w:r>
    </w:p>
    <w:p w14:paraId="74F31D88">
      <w:pPr>
        <w:spacing w:line="360" w:lineRule="auto"/>
        <w:ind w:firstLine="560"/>
        <w:rPr>
          <w:rFonts w:hint="eastAsia" w:ascii="宋体" w:hAnsi="宋体"/>
        </w:rPr>
      </w:pPr>
      <w:r>
        <w:rPr>
          <w:rFonts w:hint="eastAsia" w:ascii="宋体" w:hAnsi="宋体"/>
        </w:rPr>
        <w:t>④使用的培训设施；</w:t>
      </w:r>
    </w:p>
    <w:p w14:paraId="2DC0EC55">
      <w:pPr>
        <w:spacing w:line="360" w:lineRule="auto"/>
        <w:ind w:firstLine="560"/>
        <w:rPr>
          <w:rFonts w:hint="eastAsia" w:ascii="宋体" w:hAnsi="宋体"/>
        </w:rPr>
      </w:pPr>
      <w:r>
        <w:rPr>
          <w:rFonts w:hint="eastAsia" w:ascii="宋体" w:hAnsi="宋体"/>
        </w:rPr>
        <w:t>⑤培训的材料和文件；</w:t>
      </w:r>
    </w:p>
    <w:p w14:paraId="5D375185">
      <w:pPr>
        <w:spacing w:line="360" w:lineRule="auto"/>
        <w:ind w:firstLine="560"/>
        <w:rPr>
          <w:rFonts w:hint="eastAsia" w:ascii="宋体" w:hAnsi="宋体"/>
        </w:rPr>
      </w:pPr>
      <w:r>
        <w:rPr>
          <w:rFonts w:hint="eastAsia" w:ascii="宋体" w:hAnsi="宋体"/>
        </w:rPr>
        <w:t>⑥受训人员的要求；</w:t>
      </w:r>
    </w:p>
    <w:p w14:paraId="2E3F3096">
      <w:pPr>
        <w:spacing w:line="360" w:lineRule="auto"/>
        <w:ind w:firstLine="560"/>
        <w:rPr>
          <w:rFonts w:hint="eastAsia" w:ascii="宋体" w:hAnsi="宋体"/>
        </w:rPr>
      </w:pPr>
      <w:r>
        <w:rPr>
          <w:rFonts w:hint="eastAsia" w:ascii="宋体" w:hAnsi="宋体"/>
        </w:rPr>
        <w:t>⑦培训地点；</w:t>
      </w:r>
    </w:p>
    <w:p w14:paraId="4937B917">
      <w:pPr>
        <w:spacing w:line="360" w:lineRule="auto"/>
        <w:ind w:firstLine="560"/>
        <w:rPr>
          <w:rFonts w:hint="eastAsia" w:ascii="宋体" w:hAnsi="宋体"/>
        </w:rPr>
      </w:pPr>
      <w:r>
        <w:rPr>
          <w:rFonts w:hint="eastAsia" w:ascii="宋体" w:hAnsi="宋体"/>
        </w:rPr>
        <w:t>⑧授课人员的姓名及职称；</w:t>
      </w:r>
    </w:p>
    <w:p w14:paraId="79C495F2">
      <w:pPr>
        <w:spacing w:line="360" w:lineRule="auto"/>
        <w:ind w:firstLine="560"/>
        <w:rPr>
          <w:rFonts w:hint="eastAsia" w:ascii="宋体" w:hAnsi="宋体"/>
        </w:rPr>
      </w:pPr>
      <w:r>
        <w:rPr>
          <w:rFonts w:hint="eastAsia" w:ascii="宋体" w:hAnsi="宋体"/>
        </w:rPr>
        <w:t>⑨课程效果的评估方法。</w:t>
      </w:r>
    </w:p>
    <w:p w14:paraId="05B96904">
      <w:pPr>
        <w:spacing w:line="360" w:lineRule="auto"/>
        <w:ind w:firstLine="560"/>
        <w:rPr>
          <w:rFonts w:hint="eastAsia" w:ascii="宋体" w:hAnsi="宋体"/>
        </w:rPr>
      </w:pPr>
      <w:r>
        <w:rPr>
          <w:rFonts w:hint="eastAsia" w:ascii="宋体" w:hAnsi="宋体"/>
        </w:rPr>
        <w:t>3）培训材料应在培训实施前1个月提交给招标人确认和审批。</w:t>
      </w:r>
    </w:p>
    <w:p w14:paraId="34FE7AEC">
      <w:pPr>
        <w:spacing w:line="360" w:lineRule="auto"/>
        <w:ind w:firstLine="560"/>
        <w:rPr>
          <w:rFonts w:hint="eastAsia" w:ascii="宋体" w:hAnsi="宋体"/>
        </w:rPr>
      </w:pPr>
      <w:r>
        <w:rPr>
          <w:rFonts w:hint="eastAsia" w:ascii="宋体" w:hAnsi="宋体"/>
        </w:rPr>
        <w:t>4）</w:t>
      </w:r>
      <w:r>
        <w:rPr>
          <w:rFonts w:hint="eastAsia" w:ascii="宋体" w:hAnsi="宋体"/>
          <w:lang w:eastAsia="zh-CN"/>
        </w:rPr>
        <w:t>供应商</w:t>
      </w:r>
      <w:r>
        <w:rPr>
          <w:rFonts w:hint="eastAsia" w:ascii="宋体" w:hAnsi="宋体"/>
        </w:rPr>
        <w:t>应提供所有培训材料电子文件2份，封面上明确标明</w:t>
      </w:r>
      <w:r>
        <w:rPr>
          <w:rFonts w:hint="eastAsia" w:ascii="宋体" w:hAnsi="宋体"/>
          <w:lang w:eastAsia="zh-CN"/>
        </w:rPr>
        <w:t>供应商</w:t>
      </w:r>
      <w:r>
        <w:rPr>
          <w:rFonts w:hint="eastAsia" w:ascii="宋体" w:hAnsi="宋体"/>
        </w:rPr>
        <w:t>名称，电子文件的目录结构和主要文件的文件名。</w:t>
      </w:r>
    </w:p>
    <w:p w14:paraId="21BE799E">
      <w:pPr>
        <w:spacing w:line="360" w:lineRule="auto"/>
        <w:ind w:firstLine="560"/>
        <w:rPr>
          <w:rFonts w:hint="eastAsia" w:ascii="宋体" w:hAnsi="宋体"/>
        </w:rPr>
      </w:pPr>
      <w:r>
        <w:rPr>
          <w:rFonts w:hint="eastAsia" w:ascii="宋体" w:hAnsi="宋体"/>
        </w:rPr>
        <w:t>5）</w:t>
      </w:r>
      <w:r>
        <w:rPr>
          <w:rFonts w:hint="eastAsia" w:ascii="宋体" w:hAnsi="宋体"/>
          <w:lang w:eastAsia="zh-CN"/>
        </w:rPr>
        <w:t>供应商</w:t>
      </w:r>
      <w:r>
        <w:rPr>
          <w:rFonts w:hint="eastAsia" w:ascii="宋体" w:hAnsi="宋体"/>
        </w:rPr>
        <w:t>有责任对招标人及运营人员的操作、维护和工程设计人员提供针对本项目下设备进行安装、操作、使用和维护技能培训。通过培训，使接受培训的人员能基本了解设备的基本结构、性能，并掌握设备的安装、操作、使用和维护方法。</w:t>
      </w:r>
      <w:r>
        <w:rPr>
          <w:rFonts w:hint="eastAsia" w:ascii="宋体" w:hAnsi="宋体"/>
          <w:lang w:eastAsia="zh-CN"/>
        </w:rPr>
        <w:t>供应商</w:t>
      </w:r>
      <w:r>
        <w:rPr>
          <w:rFonts w:hint="eastAsia" w:ascii="宋体" w:hAnsi="宋体"/>
        </w:rPr>
        <w:t>选派的培训人员应具有中级以上技术职称并且在所提供的产品上具有五年以上的维修经验。未经招标人同意</w:t>
      </w:r>
      <w:r>
        <w:rPr>
          <w:rFonts w:hint="eastAsia" w:ascii="宋体" w:hAnsi="宋体"/>
          <w:lang w:eastAsia="zh-CN"/>
        </w:rPr>
        <w:t>供应商</w:t>
      </w:r>
      <w:r>
        <w:rPr>
          <w:rFonts w:hint="eastAsia" w:ascii="宋体" w:hAnsi="宋体"/>
        </w:rPr>
        <w:t>不可随意更换其选派的培训人员。</w:t>
      </w:r>
    </w:p>
    <w:p w14:paraId="234C599F">
      <w:pPr>
        <w:spacing w:line="360" w:lineRule="auto"/>
        <w:ind w:firstLine="560"/>
        <w:rPr>
          <w:rFonts w:hint="eastAsia" w:ascii="宋体" w:hAnsi="宋体"/>
        </w:rPr>
      </w:pPr>
      <w:r>
        <w:rPr>
          <w:rFonts w:hint="eastAsia" w:ascii="宋体" w:hAnsi="宋体"/>
        </w:rPr>
        <w:t>（2）现场培训</w:t>
      </w:r>
    </w:p>
    <w:p w14:paraId="4316FD95">
      <w:pPr>
        <w:spacing w:line="360" w:lineRule="auto"/>
        <w:ind w:firstLine="560"/>
        <w:rPr>
          <w:rFonts w:hint="eastAsia" w:ascii="宋体" w:hAnsi="宋体"/>
        </w:rPr>
      </w:pPr>
      <w:r>
        <w:rPr>
          <w:rFonts w:hint="eastAsia" w:ascii="宋体" w:hAnsi="宋体"/>
        </w:rPr>
        <w:t>1）</w:t>
      </w:r>
      <w:r>
        <w:rPr>
          <w:rFonts w:hint="eastAsia" w:ascii="宋体" w:hAnsi="宋体"/>
          <w:lang w:eastAsia="zh-CN"/>
        </w:rPr>
        <w:t>供应商</w:t>
      </w:r>
      <w:r>
        <w:rPr>
          <w:rFonts w:hint="eastAsia" w:ascii="宋体" w:hAnsi="宋体"/>
        </w:rPr>
        <w:t>应在设备安装完毕后进行现场培训，</w:t>
      </w:r>
      <w:r>
        <w:rPr>
          <w:rFonts w:hint="eastAsia" w:ascii="宋体" w:hAnsi="宋体"/>
          <w:lang w:eastAsia="zh-CN"/>
        </w:rPr>
        <w:t>供应商</w:t>
      </w:r>
      <w:r>
        <w:rPr>
          <w:rFonts w:hint="eastAsia" w:ascii="宋体" w:hAnsi="宋体"/>
        </w:rPr>
        <w:t>应安排工程师给予指导和演示，应对如何进行零件的拆装，如何排除故障进行指导和演示，并对受训人员进行实际操作及安全培训。</w:t>
      </w:r>
    </w:p>
    <w:p w14:paraId="640B0848">
      <w:pPr>
        <w:spacing w:line="360" w:lineRule="auto"/>
        <w:ind w:firstLine="560"/>
        <w:rPr>
          <w:rFonts w:hint="eastAsia" w:ascii="宋体" w:hAnsi="宋体"/>
        </w:rPr>
      </w:pPr>
      <w:r>
        <w:rPr>
          <w:rFonts w:hint="eastAsia" w:ascii="宋体" w:hAnsi="宋体"/>
        </w:rPr>
        <w:t>2）</w:t>
      </w:r>
      <w:r>
        <w:rPr>
          <w:rFonts w:hint="eastAsia" w:ascii="宋体" w:hAnsi="宋体"/>
          <w:lang w:eastAsia="zh-CN"/>
        </w:rPr>
        <w:t>供应商</w:t>
      </w:r>
      <w:r>
        <w:rPr>
          <w:rFonts w:hint="eastAsia" w:ascii="宋体" w:hAnsi="宋体"/>
        </w:rPr>
        <w:t>应对设备相关工作人员进行实际操作及安全培训，并提供必要的培训教材。</w:t>
      </w:r>
    </w:p>
    <w:p w14:paraId="1649931E">
      <w:pPr>
        <w:spacing w:line="360" w:lineRule="auto"/>
        <w:ind w:firstLine="560"/>
        <w:rPr>
          <w:rFonts w:hint="eastAsia" w:ascii="宋体" w:hAnsi="宋体"/>
        </w:rPr>
      </w:pPr>
      <w:r>
        <w:rPr>
          <w:rFonts w:hint="eastAsia" w:ascii="宋体" w:hAnsi="宋体"/>
        </w:rPr>
        <w:t>（3）培训费</w:t>
      </w:r>
    </w:p>
    <w:p w14:paraId="1F9D9B06">
      <w:pPr>
        <w:spacing w:line="360" w:lineRule="auto"/>
        <w:ind w:firstLine="560"/>
        <w:rPr>
          <w:rFonts w:hint="eastAsia" w:ascii="宋体" w:hAnsi="宋体"/>
        </w:rPr>
      </w:pPr>
      <w:r>
        <w:rPr>
          <w:rFonts w:hint="eastAsia" w:ascii="宋体" w:hAnsi="宋体"/>
        </w:rPr>
        <w:t>1）培训费用包含在</w:t>
      </w:r>
      <w:r>
        <w:rPr>
          <w:rFonts w:hint="eastAsia" w:ascii="宋体" w:hAnsi="宋体"/>
          <w:lang w:eastAsia="zh-CN"/>
        </w:rPr>
        <w:t>供应商</w:t>
      </w:r>
      <w:r>
        <w:rPr>
          <w:rFonts w:hint="eastAsia" w:ascii="宋体" w:hAnsi="宋体"/>
        </w:rPr>
        <w:t>的投标报价中。</w:t>
      </w:r>
    </w:p>
    <w:p w14:paraId="7C5106B3">
      <w:pPr>
        <w:spacing w:line="360" w:lineRule="auto"/>
        <w:ind w:firstLine="560"/>
        <w:rPr>
          <w:rFonts w:hint="eastAsia" w:ascii="宋体" w:hAnsi="宋体"/>
        </w:rPr>
      </w:pPr>
      <w:r>
        <w:rPr>
          <w:rFonts w:hint="eastAsia" w:ascii="宋体" w:hAnsi="宋体"/>
        </w:rPr>
        <w:t>2）因</w:t>
      </w:r>
      <w:r>
        <w:rPr>
          <w:rFonts w:hint="eastAsia" w:ascii="宋体" w:hAnsi="宋体"/>
          <w:lang w:eastAsia="zh-CN"/>
        </w:rPr>
        <w:t>供应商</w:t>
      </w:r>
      <w:r>
        <w:rPr>
          <w:rFonts w:hint="eastAsia" w:ascii="宋体" w:hAnsi="宋体"/>
        </w:rPr>
        <w:t>的原因导致技术培训不能按期完成，招标人有权要求</w:t>
      </w:r>
      <w:r>
        <w:rPr>
          <w:rFonts w:hint="eastAsia" w:ascii="宋体" w:hAnsi="宋体"/>
          <w:lang w:eastAsia="zh-CN"/>
        </w:rPr>
        <w:t>供应商</w:t>
      </w:r>
      <w:r>
        <w:rPr>
          <w:rFonts w:hint="eastAsia" w:ascii="宋体" w:hAnsi="宋体"/>
        </w:rPr>
        <w:t>重新进行培训，所有费用应由</w:t>
      </w:r>
      <w:r>
        <w:rPr>
          <w:rFonts w:hint="eastAsia" w:ascii="宋体" w:hAnsi="宋体"/>
          <w:lang w:eastAsia="zh-CN"/>
        </w:rPr>
        <w:t>供应商</w:t>
      </w:r>
      <w:r>
        <w:rPr>
          <w:rFonts w:hint="eastAsia" w:ascii="宋体" w:hAnsi="宋体"/>
        </w:rPr>
        <w:t>承担。</w:t>
      </w:r>
    </w:p>
    <w:p w14:paraId="4B7AF2D8">
      <w:pPr>
        <w:spacing w:line="360" w:lineRule="auto"/>
        <w:ind w:firstLine="560"/>
        <w:rPr>
          <w:rFonts w:hint="eastAsia" w:ascii="宋体" w:hAnsi="宋体"/>
        </w:rPr>
      </w:pPr>
      <w:r>
        <w:rPr>
          <w:rFonts w:hint="eastAsia" w:ascii="宋体" w:hAnsi="宋体"/>
        </w:rPr>
        <w:t>（4）培训效果与考核要求</w:t>
      </w:r>
    </w:p>
    <w:p w14:paraId="46C31F03">
      <w:pPr>
        <w:spacing w:line="360" w:lineRule="auto"/>
        <w:ind w:firstLine="560"/>
        <w:rPr>
          <w:rFonts w:hint="eastAsia" w:ascii="宋体" w:hAnsi="宋体"/>
        </w:rPr>
      </w:pPr>
      <w:r>
        <w:rPr>
          <w:rFonts w:hint="eastAsia" w:ascii="宋体" w:hAnsi="宋体"/>
        </w:rPr>
        <w:t>招标人受训人员经</w:t>
      </w:r>
      <w:r>
        <w:rPr>
          <w:rFonts w:hint="eastAsia" w:ascii="宋体" w:hAnsi="宋体"/>
          <w:lang w:eastAsia="zh-CN"/>
        </w:rPr>
        <w:t>供应商</w:t>
      </w:r>
      <w:r>
        <w:rPr>
          <w:rFonts w:hint="eastAsia" w:ascii="宋体" w:hAnsi="宋体"/>
        </w:rPr>
        <w:t>培训结束后应具有以下技能：</w:t>
      </w:r>
    </w:p>
    <w:p w14:paraId="46898810">
      <w:pPr>
        <w:spacing w:line="360" w:lineRule="auto"/>
        <w:ind w:firstLine="560"/>
        <w:rPr>
          <w:rFonts w:hint="eastAsia" w:ascii="宋体" w:hAnsi="宋体"/>
        </w:rPr>
      </w:pPr>
      <w:r>
        <w:rPr>
          <w:rFonts w:hint="eastAsia" w:ascii="宋体" w:hAnsi="宋体"/>
        </w:rPr>
        <w:t>1）了解说明书内容、掌握设备、各种专用工具的使用、维护保养技能。</w:t>
      </w:r>
    </w:p>
    <w:p w14:paraId="25359CB7">
      <w:pPr>
        <w:spacing w:line="360" w:lineRule="auto"/>
        <w:ind w:firstLine="560"/>
        <w:rPr>
          <w:rFonts w:hint="eastAsia" w:ascii="宋体" w:hAnsi="宋体"/>
        </w:rPr>
      </w:pPr>
      <w:r>
        <w:rPr>
          <w:rFonts w:hint="eastAsia" w:ascii="宋体" w:hAnsi="宋体"/>
        </w:rPr>
        <w:t>2）经培训达到独立正确操作。</w:t>
      </w:r>
    </w:p>
    <w:p w14:paraId="14C9D639">
      <w:pPr>
        <w:spacing w:line="360" w:lineRule="auto"/>
        <w:ind w:firstLine="560"/>
        <w:rPr>
          <w:rFonts w:hint="eastAsia" w:ascii="宋体" w:hAnsi="宋体"/>
        </w:rPr>
      </w:pPr>
      <w:r>
        <w:rPr>
          <w:rFonts w:hint="eastAsia" w:ascii="宋体" w:hAnsi="宋体"/>
        </w:rPr>
        <w:t>3）在每次培训结束后，</w:t>
      </w:r>
      <w:r>
        <w:rPr>
          <w:rFonts w:hint="eastAsia" w:ascii="宋体" w:hAnsi="宋体"/>
          <w:lang w:eastAsia="zh-CN"/>
        </w:rPr>
        <w:t>供应商</w:t>
      </w:r>
      <w:r>
        <w:rPr>
          <w:rFonts w:hint="eastAsia" w:ascii="宋体" w:hAnsi="宋体"/>
        </w:rPr>
        <w:t>将对受训人员进行理论、实践两方面予以考核，以检查受训人员是否掌握了培训的内容，并对合格的受训人发放合格证书。</w:t>
      </w:r>
      <w:bookmarkEnd w:id="96"/>
    </w:p>
    <w:p w14:paraId="1E2C15F6">
      <w:pPr>
        <w:widowControl/>
        <w:spacing w:line="360" w:lineRule="auto"/>
        <w:jc w:val="left"/>
        <w:outlineLvl w:val="0"/>
        <w:rPr>
          <w:rFonts w:hint="eastAsia" w:ascii="宋体" w:hAnsi="宋体"/>
          <w:b/>
        </w:rPr>
      </w:pPr>
      <w:bookmarkStart w:id="169" w:name="_Toc4196"/>
      <w:bookmarkStart w:id="170" w:name="_Toc472596456"/>
      <w:bookmarkStart w:id="171" w:name="_Toc28335"/>
      <w:bookmarkStart w:id="172" w:name="_Toc5112191"/>
      <w:bookmarkStart w:id="173" w:name="_Toc493"/>
      <w:bookmarkStart w:id="174" w:name="_Toc2338"/>
      <w:bookmarkStart w:id="175" w:name="_Toc31231"/>
      <w:bookmarkStart w:id="176" w:name="_Toc18457"/>
      <w:bookmarkStart w:id="177" w:name="_Toc38273415"/>
      <w:r>
        <w:rPr>
          <w:rFonts w:hint="eastAsia" w:ascii="宋体" w:hAnsi="宋体"/>
          <w:b/>
        </w:rPr>
        <w:t>10.技术文件</w:t>
      </w:r>
      <w:bookmarkEnd w:id="169"/>
      <w:bookmarkEnd w:id="170"/>
      <w:bookmarkEnd w:id="171"/>
      <w:bookmarkEnd w:id="172"/>
      <w:bookmarkEnd w:id="173"/>
      <w:bookmarkEnd w:id="174"/>
      <w:bookmarkEnd w:id="175"/>
      <w:bookmarkEnd w:id="176"/>
      <w:bookmarkEnd w:id="177"/>
    </w:p>
    <w:p w14:paraId="1C533C43">
      <w:pPr>
        <w:widowControl/>
        <w:spacing w:line="360" w:lineRule="auto"/>
        <w:jc w:val="left"/>
        <w:outlineLvl w:val="1"/>
        <w:rPr>
          <w:rFonts w:hint="eastAsia" w:ascii="宋体" w:hAnsi="宋体"/>
        </w:rPr>
      </w:pPr>
      <w:bookmarkStart w:id="178" w:name="_Toc5418"/>
      <w:bookmarkStart w:id="179" w:name="_Toc933"/>
      <w:bookmarkStart w:id="180" w:name="_Toc38273416"/>
      <w:bookmarkStart w:id="181" w:name="_Toc119119433"/>
      <w:bookmarkStart w:id="182" w:name="_Toc5112192"/>
      <w:r>
        <w:rPr>
          <w:rFonts w:ascii="宋体" w:hAnsi="宋体"/>
        </w:rPr>
        <w:t>1</w:t>
      </w:r>
      <w:r>
        <w:rPr>
          <w:rFonts w:hint="eastAsia" w:ascii="宋体" w:hAnsi="宋体"/>
        </w:rPr>
        <w:t>0.1概述</w:t>
      </w:r>
      <w:bookmarkEnd w:id="178"/>
      <w:bookmarkEnd w:id="179"/>
      <w:bookmarkEnd w:id="180"/>
      <w:bookmarkEnd w:id="181"/>
      <w:bookmarkEnd w:id="182"/>
      <w:r>
        <w:rPr>
          <w:rFonts w:hint="eastAsia" w:ascii="宋体" w:hAnsi="宋体"/>
        </w:rPr>
        <w:tab/>
      </w:r>
    </w:p>
    <w:p w14:paraId="403B8B2A">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提交的技术文件应包括设计、制造、出厂检验、运输、培训、</w:t>
      </w:r>
      <w:r>
        <w:rPr>
          <w:rFonts w:hint="eastAsia" w:ascii="宋体" w:hAnsi="宋体"/>
          <w:szCs w:val="21"/>
        </w:rPr>
        <w:t>进场开箱验收、</w:t>
      </w:r>
      <w:r>
        <w:rPr>
          <w:rFonts w:hint="eastAsia" w:ascii="宋体" w:hAnsi="宋体"/>
        </w:rPr>
        <w:t>安装、调试、</w:t>
      </w:r>
      <w:r>
        <w:rPr>
          <w:rFonts w:hint="eastAsia" w:ascii="宋体" w:hAnsi="宋体"/>
          <w:szCs w:val="21"/>
        </w:rPr>
        <w:t>试验检测、质量核查、质量预验收、质量验收、</w:t>
      </w:r>
      <w:r>
        <w:rPr>
          <w:rFonts w:hint="eastAsia" w:ascii="宋体" w:hAnsi="宋体"/>
        </w:rPr>
        <w:t>质保期、运行维护等各阶段所涉及的文件（含图纸）。同时应提交系统集成质量保证、质量控制、质量管理以及进度控制等文件，供招标人检查备案。</w:t>
      </w:r>
    </w:p>
    <w:p w14:paraId="4756A645">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对所提供的全部文件资料的正确性、完整性和适应性负完全责任，不因招标人对文件的审查而改变。</w:t>
      </w:r>
    </w:p>
    <w:p w14:paraId="62358100">
      <w:pPr>
        <w:widowControl/>
        <w:spacing w:line="360" w:lineRule="auto"/>
        <w:jc w:val="left"/>
        <w:outlineLvl w:val="1"/>
        <w:rPr>
          <w:rFonts w:hint="eastAsia" w:ascii="宋体" w:hAnsi="宋体"/>
        </w:rPr>
      </w:pPr>
      <w:bookmarkStart w:id="183" w:name="_Toc14028"/>
      <w:bookmarkStart w:id="184" w:name="_Toc5112193"/>
      <w:bookmarkStart w:id="185" w:name="_Toc119119434"/>
      <w:bookmarkStart w:id="186" w:name="_Toc22120"/>
      <w:bookmarkStart w:id="187" w:name="_Toc38273417"/>
      <w:r>
        <w:rPr>
          <w:rFonts w:ascii="宋体" w:hAnsi="宋体"/>
        </w:rPr>
        <w:t>1</w:t>
      </w:r>
      <w:r>
        <w:rPr>
          <w:rFonts w:hint="eastAsia" w:ascii="宋体" w:hAnsi="宋体"/>
        </w:rPr>
        <w:t>0.2</w:t>
      </w:r>
      <w:r>
        <w:rPr>
          <w:rFonts w:hint="eastAsia" w:ascii="宋体" w:hAnsi="宋体"/>
          <w:lang w:eastAsia="zh-CN"/>
        </w:rPr>
        <w:t>供应商</w:t>
      </w:r>
      <w:r>
        <w:rPr>
          <w:rFonts w:hint="eastAsia" w:ascii="宋体" w:hAnsi="宋体"/>
        </w:rPr>
        <w:t>提交文件种类</w:t>
      </w:r>
      <w:bookmarkEnd w:id="183"/>
      <w:bookmarkEnd w:id="184"/>
      <w:bookmarkEnd w:id="185"/>
      <w:bookmarkEnd w:id="186"/>
      <w:bookmarkEnd w:id="187"/>
      <w:r>
        <w:rPr>
          <w:rFonts w:hint="eastAsia" w:ascii="宋体" w:hAnsi="宋体"/>
        </w:rPr>
        <w:tab/>
      </w:r>
    </w:p>
    <w:p w14:paraId="39A2D855">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在合同期应以中文文本型式交付下表技术文件资料（包括但不限于此），随机文件外至少应包括以下中文资料：</w:t>
      </w:r>
    </w:p>
    <w:p w14:paraId="37520DF8">
      <w:pPr>
        <w:spacing w:line="360" w:lineRule="auto"/>
        <w:ind w:firstLine="560"/>
        <w:rPr>
          <w:rFonts w:hint="eastAsia" w:ascii="宋体" w:hAnsi="宋体"/>
        </w:rPr>
      </w:pPr>
      <w:r>
        <w:rPr>
          <w:rFonts w:hint="eastAsia" w:ascii="宋体" w:hAnsi="宋体"/>
        </w:rPr>
        <w:t>（1）详细交货清单</w:t>
      </w:r>
    </w:p>
    <w:p w14:paraId="61EEBBCF">
      <w:pPr>
        <w:spacing w:line="360" w:lineRule="auto"/>
        <w:ind w:firstLine="560"/>
        <w:rPr>
          <w:rFonts w:hint="eastAsia" w:ascii="宋体" w:hAnsi="宋体"/>
        </w:rPr>
      </w:pPr>
      <w:r>
        <w:rPr>
          <w:rFonts w:hint="eastAsia" w:ascii="宋体" w:hAnsi="宋体"/>
        </w:rPr>
        <w:t>（2）设备装箱清单、备品备件、专用工具仪器仪表清单</w:t>
      </w:r>
    </w:p>
    <w:p w14:paraId="1EA7D070">
      <w:pPr>
        <w:spacing w:line="360" w:lineRule="auto"/>
        <w:ind w:firstLine="560"/>
        <w:rPr>
          <w:rFonts w:hint="eastAsia" w:ascii="宋体" w:hAnsi="宋体"/>
        </w:rPr>
      </w:pPr>
      <w:r>
        <w:rPr>
          <w:rFonts w:hint="eastAsia" w:ascii="宋体" w:hAnsi="宋体"/>
        </w:rPr>
        <w:t>（3）设备安装、调试、使用、维护手册</w:t>
      </w:r>
    </w:p>
    <w:p w14:paraId="26F4232B">
      <w:pPr>
        <w:spacing w:line="360" w:lineRule="auto"/>
        <w:ind w:firstLine="560"/>
        <w:rPr>
          <w:rFonts w:hint="eastAsia" w:ascii="宋体" w:hAnsi="宋体"/>
        </w:rPr>
      </w:pPr>
      <w:r>
        <w:rPr>
          <w:rFonts w:hint="eastAsia" w:ascii="宋体" w:hAnsi="宋体"/>
        </w:rPr>
        <w:t>（4）最小可维修部件及易损件的规格、型号、图纸、采购渠道</w:t>
      </w:r>
    </w:p>
    <w:p w14:paraId="7EF5F139">
      <w:pPr>
        <w:spacing w:line="360" w:lineRule="auto"/>
        <w:ind w:firstLine="560"/>
        <w:rPr>
          <w:rFonts w:hint="eastAsia" w:ascii="宋体" w:hAnsi="宋体"/>
        </w:rPr>
      </w:pPr>
      <w:r>
        <w:rPr>
          <w:rFonts w:hint="eastAsia" w:ascii="宋体" w:hAnsi="宋体"/>
        </w:rPr>
        <w:t>（5）设备及主要部件的装配图</w:t>
      </w:r>
    </w:p>
    <w:p w14:paraId="3C341849">
      <w:pPr>
        <w:spacing w:line="360" w:lineRule="auto"/>
        <w:ind w:firstLine="560"/>
        <w:rPr>
          <w:rFonts w:hint="eastAsia" w:ascii="宋体" w:hAnsi="宋体"/>
        </w:rPr>
      </w:pPr>
      <w:r>
        <w:rPr>
          <w:rFonts w:hint="eastAsia" w:ascii="宋体" w:hAnsi="宋体"/>
        </w:rPr>
        <w:t>（6）配套产品性能监测报告</w:t>
      </w:r>
    </w:p>
    <w:p w14:paraId="359476AC">
      <w:pPr>
        <w:spacing w:line="360" w:lineRule="auto"/>
        <w:ind w:firstLine="560"/>
        <w:rPr>
          <w:rFonts w:hint="eastAsia" w:ascii="宋体" w:hAnsi="宋体"/>
        </w:rPr>
      </w:pPr>
      <w:r>
        <w:rPr>
          <w:rFonts w:hint="eastAsia" w:ascii="宋体" w:hAnsi="宋体"/>
        </w:rPr>
        <w:t>（7）电气原理图、接线图</w:t>
      </w:r>
    </w:p>
    <w:p w14:paraId="1B996945">
      <w:pPr>
        <w:spacing w:line="360" w:lineRule="auto"/>
        <w:ind w:firstLine="560"/>
        <w:rPr>
          <w:rFonts w:hint="eastAsia" w:ascii="宋体" w:hAnsi="宋体"/>
        </w:rPr>
      </w:pPr>
      <w:r>
        <w:rPr>
          <w:rFonts w:hint="eastAsia" w:ascii="宋体" w:hAnsi="宋体"/>
        </w:rPr>
        <w:t>（8）液压原理图说明及有关资料</w:t>
      </w:r>
    </w:p>
    <w:p w14:paraId="67684C2A">
      <w:pPr>
        <w:spacing w:line="360" w:lineRule="auto"/>
        <w:ind w:firstLine="560"/>
        <w:rPr>
          <w:rFonts w:hint="eastAsia" w:ascii="宋体" w:hAnsi="宋体"/>
        </w:rPr>
      </w:pPr>
      <w:r>
        <w:rPr>
          <w:rFonts w:hint="eastAsia" w:ascii="宋体" w:hAnsi="宋体"/>
        </w:rPr>
        <w:t>（9）设备出厂检验报告和合格证</w:t>
      </w:r>
    </w:p>
    <w:p w14:paraId="273EC7C4">
      <w:pPr>
        <w:spacing w:line="360" w:lineRule="auto"/>
        <w:ind w:firstLine="560"/>
        <w:rPr>
          <w:rFonts w:hint="eastAsia" w:ascii="宋体" w:hAnsi="宋体"/>
        </w:rPr>
      </w:pPr>
      <w:r>
        <w:rPr>
          <w:rFonts w:hint="eastAsia" w:ascii="宋体" w:hAnsi="宋体"/>
        </w:rPr>
        <w:t>（10）进口材料、零部件的商检报告、合格证</w:t>
      </w:r>
    </w:p>
    <w:p w14:paraId="2E82823F">
      <w:pPr>
        <w:spacing w:line="360" w:lineRule="auto"/>
        <w:ind w:firstLine="560"/>
        <w:rPr>
          <w:rFonts w:hint="eastAsia" w:ascii="宋体" w:hAnsi="宋体"/>
        </w:rPr>
      </w:pPr>
      <w:r>
        <w:rPr>
          <w:rFonts w:hint="eastAsia" w:ascii="宋体" w:hAnsi="宋体"/>
        </w:rPr>
        <w:t>（11）外购材料、零部件的合格证</w:t>
      </w:r>
    </w:p>
    <w:p w14:paraId="5FCB6EC5">
      <w:pPr>
        <w:spacing w:line="360" w:lineRule="auto"/>
        <w:ind w:firstLine="560"/>
        <w:rPr>
          <w:rFonts w:hint="eastAsia" w:ascii="宋体" w:hAnsi="宋体"/>
        </w:rPr>
      </w:pPr>
      <w:r>
        <w:rPr>
          <w:rFonts w:hint="eastAsia" w:ascii="宋体" w:hAnsi="宋体"/>
        </w:rPr>
        <w:t>（12）所有电气元件、零部件规格、型号、生产厂家清单（</w:t>
      </w:r>
      <w:r>
        <w:rPr>
          <w:rFonts w:hint="eastAsia" w:ascii="宋体" w:hAnsi="宋体"/>
          <w:lang w:eastAsia="zh-CN"/>
        </w:rPr>
        <w:t>供应商</w:t>
      </w:r>
      <w:r>
        <w:rPr>
          <w:rFonts w:hint="eastAsia" w:ascii="宋体" w:hAnsi="宋体"/>
        </w:rPr>
        <w:t>须提交主要零部件规格、型号、产地、生产厂家一览表）。</w:t>
      </w:r>
    </w:p>
    <w:p w14:paraId="1A656B23">
      <w:pPr>
        <w:spacing w:line="360" w:lineRule="auto"/>
        <w:ind w:firstLine="560"/>
        <w:rPr>
          <w:rFonts w:hint="eastAsia" w:ascii="宋体" w:hAnsi="宋体"/>
        </w:rPr>
      </w:pPr>
      <w:r>
        <w:rPr>
          <w:rFonts w:hint="eastAsia" w:ascii="宋体" w:hAnsi="宋体"/>
        </w:rPr>
        <w:t>（13）各级修程间隔、内容建议书</w:t>
      </w:r>
    </w:p>
    <w:p w14:paraId="3FCBE2F3">
      <w:pPr>
        <w:spacing w:line="360" w:lineRule="auto"/>
        <w:ind w:firstLine="560"/>
        <w:rPr>
          <w:rFonts w:hint="eastAsia" w:ascii="宋体" w:hAnsi="宋体"/>
        </w:rPr>
      </w:pPr>
      <w:r>
        <w:rPr>
          <w:rFonts w:hint="eastAsia" w:ascii="宋体" w:hAnsi="宋体"/>
        </w:rPr>
        <w:t>（14）易损易耗配件图册。</w:t>
      </w:r>
    </w:p>
    <w:p w14:paraId="0BCE57D3">
      <w:pPr>
        <w:spacing w:line="360" w:lineRule="auto"/>
        <w:ind w:firstLine="560"/>
        <w:rPr>
          <w:rFonts w:hint="eastAsia" w:ascii="宋体" w:hAnsi="宋体"/>
        </w:rPr>
      </w:pPr>
      <w:bookmarkStart w:id="188" w:name="_Toc119119435"/>
      <w:r>
        <w:rPr>
          <w:rFonts w:ascii="宋体" w:hAnsi="宋体"/>
        </w:rPr>
        <w:t>1</w:t>
      </w:r>
      <w:r>
        <w:rPr>
          <w:rFonts w:hint="eastAsia" w:ascii="宋体" w:hAnsi="宋体"/>
        </w:rPr>
        <w:t>0.2.1文档提交</w:t>
      </w:r>
      <w:bookmarkEnd w:id="188"/>
    </w:p>
    <w:p w14:paraId="060C0170">
      <w:pPr>
        <w:spacing w:line="360" w:lineRule="auto"/>
        <w:ind w:firstLine="560"/>
        <w:rPr>
          <w:rFonts w:hint="eastAsia" w:ascii="宋体" w:hAnsi="宋体"/>
        </w:rPr>
      </w:pPr>
      <w:r>
        <w:rPr>
          <w:rFonts w:hint="eastAsia" w:ascii="宋体" w:hAnsi="宋体"/>
        </w:rPr>
        <w:t>所有的软件文档均用中文以一式四份带电子文件的方式提交。各文档应在设计周期的相应阶段完成后提交，并在预验收后的1个月内提交最终稿。</w:t>
      </w:r>
    </w:p>
    <w:p w14:paraId="159FD99E">
      <w:pPr>
        <w:spacing w:line="360" w:lineRule="auto"/>
        <w:ind w:firstLine="560"/>
        <w:rPr>
          <w:rFonts w:hint="eastAsia" w:ascii="宋体" w:hAnsi="宋体"/>
        </w:rPr>
      </w:pPr>
      <w:bookmarkStart w:id="189" w:name="_Toc119119436"/>
      <w:r>
        <w:rPr>
          <w:rFonts w:ascii="宋体" w:hAnsi="宋体"/>
        </w:rPr>
        <w:t>1</w:t>
      </w:r>
      <w:r>
        <w:rPr>
          <w:rFonts w:hint="eastAsia" w:ascii="宋体" w:hAnsi="宋体"/>
        </w:rPr>
        <w:t>0.2.2软件文档</w:t>
      </w:r>
      <w:bookmarkEnd w:id="189"/>
    </w:p>
    <w:p w14:paraId="306C3128">
      <w:pPr>
        <w:spacing w:line="360" w:lineRule="auto"/>
        <w:ind w:firstLine="560"/>
        <w:rPr>
          <w:rFonts w:hint="eastAsia" w:ascii="宋体" w:hAnsi="宋体"/>
        </w:rPr>
      </w:pPr>
      <w:r>
        <w:rPr>
          <w:rFonts w:hint="eastAsia" w:ascii="宋体" w:hAnsi="宋体"/>
          <w:lang w:eastAsia="zh-CN"/>
        </w:rPr>
        <w:t>供应商</w:t>
      </w:r>
      <w:r>
        <w:rPr>
          <w:rFonts w:hint="eastAsia" w:ascii="宋体" w:hAnsi="宋体"/>
        </w:rPr>
        <w:t>应提供软件程序的复制件并提供为设备维护所需要的软件文档，包括但不限于下列项目：</w:t>
      </w:r>
    </w:p>
    <w:p w14:paraId="41A68C32">
      <w:pPr>
        <w:spacing w:line="360" w:lineRule="auto"/>
        <w:ind w:firstLine="560"/>
        <w:rPr>
          <w:rFonts w:hint="eastAsia" w:ascii="宋体" w:hAnsi="宋体"/>
        </w:rPr>
      </w:pPr>
      <w:r>
        <w:rPr>
          <w:rFonts w:hint="eastAsia" w:ascii="宋体" w:hAnsi="宋体"/>
        </w:rPr>
        <w:t>（1）软件功能需求说明书，包括外部接口需求说明书；</w:t>
      </w:r>
    </w:p>
    <w:p w14:paraId="2D5D2AA3">
      <w:pPr>
        <w:spacing w:line="360" w:lineRule="auto"/>
        <w:ind w:firstLine="560"/>
        <w:rPr>
          <w:rFonts w:hint="eastAsia" w:ascii="宋体" w:hAnsi="宋体"/>
        </w:rPr>
      </w:pPr>
      <w:r>
        <w:rPr>
          <w:rFonts w:hint="eastAsia" w:ascii="宋体" w:hAnsi="宋体"/>
        </w:rPr>
        <w:t>（2）软件设计说明书；</w:t>
      </w:r>
    </w:p>
    <w:p w14:paraId="6A398C33">
      <w:pPr>
        <w:spacing w:line="360" w:lineRule="auto"/>
        <w:ind w:firstLine="560"/>
        <w:rPr>
          <w:rFonts w:hint="eastAsia" w:ascii="宋体" w:hAnsi="宋体"/>
        </w:rPr>
      </w:pPr>
      <w:r>
        <w:rPr>
          <w:rFonts w:hint="eastAsia" w:ascii="宋体" w:hAnsi="宋体"/>
        </w:rPr>
        <w:t>（3）用户文档（包括用户手册、培训手册）；</w:t>
      </w:r>
    </w:p>
    <w:p w14:paraId="3CC46A54">
      <w:pPr>
        <w:spacing w:line="360" w:lineRule="auto"/>
        <w:ind w:firstLine="560"/>
        <w:rPr>
          <w:rFonts w:hint="eastAsia" w:ascii="宋体" w:hAnsi="宋体"/>
        </w:rPr>
      </w:pPr>
      <w:r>
        <w:rPr>
          <w:rFonts w:hint="eastAsia" w:ascii="宋体" w:hAnsi="宋体"/>
        </w:rPr>
        <w:t>（4）支持文档（包括操作手册等）。</w:t>
      </w:r>
    </w:p>
    <w:p w14:paraId="562FDE46">
      <w:pPr>
        <w:spacing w:line="360" w:lineRule="auto"/>
        <w:ind w:firstLine="560"/>
        <w:rPr>
          <w:rFonts w:hint="eastAsia" w:ascii="宋体" w:hAnsi="宋体"/>
        </w:rPr>
      </w:pPr>
      <w:r>
        <w:rPr>
          <w:rFonts w:hint="eastAsia" w:ascii="宋体" w:hAnsi="宋体"/>
        </w:rPr>
        <w:t>（5）</w:t>
      </w:r>
      <w:r>
        <w:rPr>
          <w:rFonts w:hint="eastAsia" w:ascii="宋体" w:hAnsi="宋体"/>
          <w:lang w:eastAsia="zh-CN"/>
        </w:rPr>
        <w:t>供应商</w:t>
      </w:r>
      <w:r>
        <w:rPr>
          <w:rFonts w:hint="eastAsia" w:ascii="宋体" w:hAnsi="宋体"/>
        </w:rPr>
        <w:t>应列出交付的合同范围内的所有软件文档清单。</w:t>
      </w:r>
    </w:p>
    <w:p w14:paraId="056F0165">
      <w:pPr>
        <w:widowControl/>
        <w:spacing w:line="360" w:lineRule="auto"/>
        <w:jc w:val="left"/>
        <w:outlineLvl w:val="1"/>
        <w:rPr>
          <w:rFonts w:hint="eastAsia" w:ascii="宋体" w:hAnsi="宋体"/>
        </w:rPr>
      </w:pPr>
      <w:bookmarkStart w:id="190" w:name="_Toc5112194"/>
      <w:bookmarkStart w:id="191" w:name="_Toc38273418"/>
      <w:bookmarkStart w:id="192" w:name="_Toc23664"/>
      <w:bookmarkStart w:id="193" w:name="_Toc119119437"/>
      <w:bookmarkStart w:id="194" w:name="_Toc18888"/>
      <w:r>
        <w:rPr>
          <w:rFonts w:ascii="宋体" w:hAnsi="宋体"/>
        </w:rPr>
        <w:t>1</w:t>
      </w:r>
      <w:r>
        <w:rPr>
          <w:rFonts w:hint="eastAsia" w:ascii="宋体" w:hAnsi="宋体"/>
        </w:rPr>
        <w:t>0.3用户文档</w:t>
      </w:r>
      <w:bookmarkEnd w:id="190"/>
      <w:bookmarkEnd w:id="191"/>
      <w:bookmarkEnd w:id="192"/>
      <w:bookmarkEnd w:id="193"/>
      <w:bookmarkEnd w:id="194"/>
    </w:p>
    <w:p w14:paraId="0E952AA1">
      <w:pPr>
        <w:spacing w:line="360" w:lineRule="auto"/>
        <w:ind w:firstLine="560"/>
        <w:rPr>
          <w:rFonts w:hint="eastAsia" w:ascii="宋体" w:hAnsi="宋体"/>
        </w:rPr>
      </w:pPr>
      <w:r>
        <w:rPr>
          <w:rFonts w:ascii="宋体" w:hAnsi="宋体"/>
        </w:rPr>
        <w:t>1</w:t>
      </w:r>
      <w:r>
        <w:rPr>
          <w:rFonts w:hint="eastAsia" w:ascii="宋体" w:hAnsi="宋体"/>
        </w:rPr>
        <w:t>0.3.1用户手册应向用户提供正确的操作步骤，正常的输出信息；</w:t>
      </w:r>
    </w:p>
    <w:p w14:paraId="0B91190A">
      <w:pPr>
        <w:spacing w:line="360" w:lineRule="auto"/>
        <w:ind w:firstLine="560"/>
        <w:rPr>
          <w:rFonts w:hint="eastAsia" w:ascii="宋体" w:hAnsi="宋体"/>
        </w:rPr>
      </w:pPr>
      <w:r>
        <w:rPr>
          <w:rFonts w:ascii="宋体" w:hAnsi="宋体"/>
        </w:rPr>
        <w:t>1</w:t>
      </w:r>
      <w:r>
        <w:rPr>
          <w:rFonts w:hint="eastAsia" w:ascii="宋体" w:hAnsi="宋体"/>
        </w:rPr>
        <w:t>0.3.2培训手册提供针对不同层次用户及设备所必须的计划及内容。</w:t>
      </w:r>
    </w:p>
    <w:p w14:paraId="587A5119">
      <w:pPr>
        <w:widowControl/>
        <w:spacing w:line="360" w:lineRule="auto"/>
        <w:jc w:val="left"/>
        <w:outlineLvl w:val="1"/>
        <w:rPr>
          <w:rFonts w:hint="eastAsia" w:ascii="宋体" w:hAnsi="宋体"/>
        </w:rPr>
      </w:pPr>
      <w:bookmarkStart w:id="195" w:name="_Toc38273419"/>
      <w:bookmarkStart w:id="196" w:name="_Toc5112195"/>
      <w:bookmarkStart w:id="197" w:name="_Toc10000"/>
      <w:bookmarkStart w:id="198" w:name="_Toc19291"/>
      <w:bookmarkStart w:id="199" w:name="_Toc119119438"/>
      <w:r>
        <w:rPr>
          <w:rFonts w:ascii="宋体" w:hAnsi="宋体"/>
        </w:rPr>
        <w:t>1</w:t>
      </w:r>
      <w:r>
        <w:rPr>
          <w:rFonts w:hint="eastAsia" w:ascii="宋体" w:hAnsi="宋体"/>
        </w:rPr>
        <w:t>0.4支持文档</w:t>
      </w:r>
      <w:bookmarkEnd w:id="195"/>
      <w:bookmarkEnd w:id="196"/>
      <w:bookmarkEnd w:id="197"/>
      <w:bookmarkEnd w:id="198"/>
      <w:bookmarkEnd w:id="199"/>
    </w:p>
    <w:p w14:paraId="67861C53">
      <w:pPr>
        <w:spacing w:line="360" w:lineRule="auto"/>
        <w:ind w:firstLine="560"/>
        <w:rPr>
          <w:rFonts w:hint="eastAsia" w:ascii="宋体" w:hAnsi="宋体"/>
        </w:rPr>
      </w:pPr>
      <w:r>
        <w:rPr>
          <w:rFonts w:ascii="宋体" w:hAnsi="宋体"/>
        </w:rPr>
        <w:t>1</w:t>
      </w:r>
      <w:r>
        <w:rPr>
          <w:rFonts w:hint="eastAsia" w:ascii="宋体" w:hAnsi="宋体"/>
        </w:rPr>
        <w:t>0.4.1操作手册提供系统运作初始化、操作和监测的详细程序及信息；</w:t>
      </w:r>
    </w:p>
    <w:p w14:paraId="1EF979BD">
      <w:pPr>
        <w:spacing w:line="360" w:lineRule="auto"/>
        <w:ind w:firstLine="560"/>
        <w:rPr>
          <w:rFonts w:hint="eastAsia" w:ascii="宋体" w:hAnsi="宋体"/>
        </w:rPr>
      </w:pPr>
      <w:r>
        <w:rPr>
          <w:rFonts w:ascii="宋体" w:hAnsi="宋体"/>
        </w:rPr>
        <w:t>1</w:t>
      </w:r>
      <w:r>
        <w:rPr>
          <w:rFonts w:hint="eastAsia" w:ascii="宋体" w:hAnsi="宋体"/>
        </w:rPr>
        <w:t>0.4.2应用软件编写工具。</w:t>
      </w:r>
    </w:p>
    <w:p w14:paraId="63C01C7A">
      <w:pPr>
        <w:widowControl/>
        <w:spacing w:line="360" w:lineRule="auto"/>
        <w:jc w:val="left"/>
        <w:outlineLvl w:val="1"/>
        <w:rPr>
          <w:rFonts w:hint="eastAsia" w:ascii="宋体" w:hAnsi="宋体"/>
        </w:rPr>
      </w:pPr>
      <w:bookmarkStart w:id="200" w:name="_Toc5112196"/>
      <w:bookmarkStart w:id="201" w:name="_Toc119119439"/>
      <w:bookmarkStart w:id="202" w:name="_Toc27124"/>
      <w:bookmarkStart w:id="203" w:name="_Toc28797"/>
      <w:bookmarkStart w:id="204" w:name="_Toc38273420"/>
      <w:r>
        <w:rPr>
          <w:rFonts w:ascii="宋体" w:hAnsi="宋体"/>
        </w:rPr>
        <w:t>1</w:t>
      </w:r>
      <w:r>
        <w:rPr>
          <w:rFonts w:hint="eastAsia" w:ascii="宋体" w:hAnsi="宋体"/>
        </w:rPr>
        <w:t>0.5维修文档</w:t>
      </w:r>
      <w:bookmarkEnd w:id="200"/>
      <w:bookmarkEnd w:id="201"/>
      <w:bookmarkEnd w:id="202"/>
      <w:bookmarkEnd w:id="203"/>
      <w:bookmarkEnd w:id="204"/>
    </w:p>
    <w:p w14:paraId="5C1165D6">
      <w:pPr>
        <w:spacing w:line="360" w:lineRule="auto"/>
        <w:ind w:firstLine="560"/>
        <w:rPr>
          <w:rFonts w:hint="eastAsia" w:ascii="宋体" w:hAnsi="宋体"/>
        </w:rPr>
      </w:pPr>
      <w:r>
        <w:rPr>
          <w:rFonts w:ascii="宋体" w:hAnsi="宋体"/>
        </w:rPr>
        <w:t>1</w:t>
      </w:r>
      <w:r>
        <w:rPr>
          <w:rFonts w:hint="eastAsia" w:ascii="宋体" w:hAnsi="宋体"/>
        </w:rPr>
        <w:t>0.5.1</w:t>
      </w:r>
      <w:r>
        <w:rPr>
          <w:rFonts w:hint="eastAsia" w:ascii="宋体" w:hAnsi="宋体"/>
          <w:lang w:eastAsia="zh-CN"/>
        </w:rPr>
        <w:t>供应商</w:t>
      </w:r>
      <w:r>
        <w:rPr>
          <w:rFonts w:hint="eastAsia" w:ascii="宋体" w:hAnsi="宋体"/>
        </w:rPr>
        <w:t>要提供设备的运行和维护手册：</w:t>
      </w:r>
    </w:p>
    <w:p w14:paraId="227CA3B4">
      <w:pPr>
        <w:spacing w:line="360" w:lineRule="auto"/>
        <w:ind w:firstLine="560"/>
        <w:rPr>
          <w:rFonts w:hint="eastAsia" w:ascii="宋体" w:hAnsi="宋体"/>
        </w:rPr>
      </w:pPr>
      <w:r>
        <w:rPr>
          <w:rFonts w:ascii="宋体" w:hAnsi="宋体"/>
        </w:rPr>
        <w:t>1</w:t>
      </w:r>
      <w:r>
        <w:rPr>
          <w:rFonts w:hint="eastAsia" w:ascii="宋体" w:hAnsi="宋体"/>
        </w:rPr>
        <w:t>0.5.2操作运行原理；</w:t>
      </w:r>
    </w:p>
    <w:p w14:paraId="22A0E584">
      <w:pPr>
        <w:spacing w:line="360" w:lineRule="auto"/>
        <w:ind w:firstLine="560"/>
        <w:rPr>
          <w:rFonts w:hint="eastAsia" w:ascii="宋体" w:hAnsi="宋体"/>
        </w:rPr>
      </w:pPr>
      <w:r>
        <w:rPr>
          <w:rFonts w:ascii="宋体" w:hAnsi="宋体"/>
        </w:rPr>
        <w:t>1</w:t>
      </w:r>
      <w:r>
        <w:rPr>
          <w:rFonts w:hint="eastAsia" w:ascii="宋体" w:hAnsi="宋体"/>
        </w:rPr>
        <w:t>0.5.3总装图及主要分装图；</w:t>
      </w:r>
    </w:p>
    <w:p w14:paraId="1191CA7A">
      <w:pPr>
        <w:spacing w:line="360" w:lineRule="auto"/>
        <w:ind w:firstLine="560"/>
        <w:rPr>
          <w:rFonts w:hint="eastAsia" w:ascii="宋体" w:hAnsi="宋体"/>
        </w:rPr>
      </w:pPr>
      <w:r>
        <w:rPr>
          <w:rFonts w:ascii="宋体" w:hAnsi="宋体"/>
        </w:rPr>
        <w:t>1</w:t>
      </w:r>
      <w:r>
        <w:rPr>
          <w:rFonts w:hint="eastAsia" w:ascii="宋体" w:hAnsi="宋体"/>
        </w:rPr>
        <w:t>0.5.4设备电气原理及连接图；</w:t>
      </w:r>
    </w:p>
    <w:p w14:paraId="211175C6">
      <w:pPr>
        <w:spacing w:line="360" w:lineRule="auto"/>
        <w:ind w:firstLine="560"/>
        <w:rPr>
          <w:rFonts w:hint="eastAsia" w:ascii="宋体" w:hAnsi="宋体"/>
        </w:rPr>
      </w:pPr>
      <w:r>
        <w:rPr>
          <w:rFonts w:ascii="宋体" w:hAnsi="宋体"/>
        </w:rPr>
        <w:t>1</w:t>
      </w:r>
      <w:r>
        <w:rPr>
          <w:rFonts w:hint="eastAsia" w:ascii="宋体" w:hAnsi="宋体"/>
        </w:rPr>
        <w:t>0.5.5故障诊断程序及方法。</w:t>
      </w:r>
    </w:p>
    <w:p w14:paraId="35E00366">
      <w:pPr>
        <w:widowControl/>
        <w:spacing w:line="360" w:lineRule="auto"/>
        <w:jc w:val="left"/>
        <w:outlineLvl w:val="1"/>
        <w:rPr>
          <w:rFonts w:hint="eastAsia" w:ascii="宋体" w:hAnsi="宋体"/>
        </w:rPr>
      </w:pPr>
      <w:bookmarkStart w:id="205" w:name="_Toc14139"/>
      <w:bookmarkStart w:id="206" w:name="_Toc119119441"/>
      <w:bookmarkStart w:id="207" w:name="_Toc20014"/>
      <w:bookmarkStart w:id="208" w:name="_Toc38273421"/>
      <w:bookmarkStart w:id="209" w:name="_Toc5112197"/>
      <w:r>
        <w:rPr>
          <w:rFonts w:ascii="宋体" w:hAnsi="宋体"/>
        </w:rPr>
        <w:t>1</w:t>
      </w:r>
      <w:r>
        <w:rPr>
          <w:rFonts w:hint="eastAsia" w:ascii="宋体" w:hAnsi="宋体"/>
        </w:rPr>
        <w:t>0.6对技术文件的要求</w:t>
      </w:r>
      <w:bookmarkEnd w:id="205"/>
      <w:bookmarkEnd w:id="206"/>
      <w:bookmarkEnd w:id="207"/>
      <w:bookmarkEnd w:id="208"/>
      <w:bookmarkEnd w:id="209"/>
    </w:p>
    <w:p w14:paraId="6DEF2B0E">
      <w:pPr>
        <w:spacing w:line="360" w:lineRule="auto"/>
        <w:ind w:firstLine="560"/>
        <w:rPr>
          <w:rFonts w:hint="eastAsia" w:ascii="宋体" w:hAnsi="宋体"/>
        </w:rPr>
      </w:pPr>
      <w:r>
        <w:rPr>
          <w:rFonts w:hint="eastAsia" w:ascii="宋体" w:hAnsi="宋体"/>
        </w:rPr>
        <w:t>为便于</w:t>
      </w:r>
      <w:r>
        <w:rPr>
          <w:rFonts w:hint="eastAsia" w:ascii="宋体" w:hAnsi="宋体"/>
          <w:lang w:eastAsia="zh-CN"/>
        </w:rPr>
        <w:t>供应商</w:t>
      </w:r>
      <w:r>
        <w:rPr>
          <w:rFonts w:hint="eastAsia" w:ascii="宋体" w:hAnsi="宋体"/>
        </w:rPr>
        <w:t>文件管理及文件追溯，</w:t>
      </w:r>
      <w:r>
        <w:rPr>
          <w:rFonts w:hint="eastAsia" w:ascii="宋体" w:hAnsi="宋体"/>
          <w:lang w:eastAsia="zh-CN"/>
        </w:rPr>
        <w:t>供应商</w:t>
      </w:r>
      <w:r>
        <w:rPr>
          <w:rFonts w:hint="eastAsia" w:ascii="宋体" w:hAnsi="宋体"/>
        </w:rPr>
        <w:t>应按下列要求向招标人提交需提交的文件。</w:t>
      </w:r>
    </w:p>
    <w:p w14:paraId="0B53B179">
      <w:pPr>
        <w:spacing w:line="360" w:lineRule="auto"/>
        <w:ind w:firstLine="560"/>
        <w:rPr>
          <w:rFonts w:hint="eastAsia" w:ascii="宋体" w:hAnsi="宋体"/>
        </w:rPr>
      </w:pPr>
      <w:r>
        <w:rPr>
          <w:rFonts w:ascii="宋体" w:hAnsi="宋体"/>
        </w:rPr>
        <w:t>1</w:t>
      </w:r>
      <w:r>
        <w:rPr>
          <w:rFonts w:hint="eastAsia" w:ascii="宋体" w:hAnsi="宋体"/>
        </w:rPr>
        <w:t>0.6.1所有文件需使用中文。采用A4纸张，文件提交的数量满足招标人档案管理部门管理要求，且附有电子文件2套（应使用光盘或U盘）。电子文件应采用通用的office、cad等软件制作，若招标人需要电子文件的制作软件时，</w:t>
      </w:r>
      <w:r>
        <w:rPr>
          <w:rFonts w:hint="eastAsia" w:ascii="宋体" w:hAnsi="宋体"/>
          <w:lang w:eastAsia="zh-CN"/>
        </w:rPr>
        <w:t>供应商</w:t>
      </w:r>
      <w:r>
        <w:rPr>
          <w:rFonts w:hint="eastAsia" w:ascii="宋体" w:hAnsi="宋体"/>
        </w:rPr>
        <w:t>应免费提供。</w:t>
      </w:r>
    </w:p>
    <w:p w14:paraId="24CC2C53">
      <w:pPr>
        <w:spacing w:line="360" w:lineRule="auto"/>
        <w:ind w:firstLine="560"/>
        <w:rPr>
          <w:rFonts w:hint="eastAsia" w:ascii="宋体" w:hAnsi="宋体"/>
        </w:rPr>
      </w:pPr>
      <w:r>
        <w:rPr>
          <w:rFonts w:ascii="宋体" w:hAnsi="宋体"/>
        </w:rPr>
        <w:t>1</w:t>
      </w:r>
      <w:r>
        <w:rPr>
          <w:rFonts w:hint="eastAsia" w:ascii="宋体" w:hAnsi="宋体"/>
        </w:rPr>
        <w:t>0.6.2系统有关的图纸、手册和技术文件在系统设计及工程实施过程中有变化时，</w:t>
      </w:r>
      <w:r>
        <w:rPr>
          <w:rFonts w:hint="eastAsia" w:ascii="宋体" w:hAnsi="宋体"/>
          <w:lang w:eastAsia="zh-CN"/>
        </w:rPr>
        <w:t>供应商</w:t>
      </w:r>
      <w:r>
        <w:rPr>
          <w:rFonts w:hint="eastAsia" w:ascii="宋体" w:hAnsi="宋体"/>
        </w:rPr>
        <w:t>应及时为招标人更新相应的文件资料。</w:t>
      </w:r>
    </w:p>
    <w:p w14:paraId="47CD3CED">
      <w:pPr>
        <w:spacing w:line="360" w:lineRule="auto"/>
        <w:ind w:firstLine="560"/>
        <w:rPr>
          <w:rFonts w:hint="eastAsia" w:ascii="宋体" w:hAnsi="宋体"/>
        </w:rPr>
      </w:pPr>
      <w:r>
        <w:rPr>
          <w:rFonts w:ascii="宋体" w:hAnsi="宋体"/>
        </w:rPr>
        <w:t>1</w:t>
      </w:r>
      <w:r>
        <w:rPr>
          <w:rFonts w:hint="eastAsia" w:ascii="宋体" w:hAnsi="宋体"/>
        </w:rPr>
        <w:t>0.6.3所有文件应按照招标人档案管理部门的技术文件移交规定，统一进行文件分类和编号，在规定的时间移交给招标人。</w:t>
      </w:r>
    </w:p>
    <w:p w14:paraId="27A72298">
      <w:pPr>
        <w:spacing w:line="360" w:lineRule="auto"/>
        <w:ind w:firstLine="560"/>
        <w:rPr>
          <w:rFonts w:hint="eastAsia" w:ascii="宋体" w:hAnsi="宋体"/>
        </w:rPr>
      </w:pPr>
      <w:r>
        <w:rPr>
          <w:rFonts w:hint="eastAsia" w:ascii="宋体" w:hAnsi="宋体"/>
        </w:rPr>
        <w:t>10.6.4工程文件必须执行报验、报审手续（分包、设备供应厂家的资质也应执行报验、报审）。设备供应商须按单位工程提供齐全完整的设备、材料质量证明文件及装箱单（必须加盖供货商印章）、图纸、说明书、操作手册等，满足档案归档套数要求，并提供供货清单。</w:t>
      </w:r>
    </w:p>
    <w:p w14:paraId="51E6FA88">
      <w:pPr>
        <w:spacing w:line="360" w:lineRule="auto"/>
        <w:ind w:firstLine="560"/>
        <w:rPr>
          <w:rFonts w:hint="eastAsia" w:ascii="宋体" w:hAnsi="宋体"/>
        </w:rPr>
      </w:pPr>
      <w:r>
        <w:rPr>
          <w:rFonts w:hint="eastAsia" w:ascii="宋体" w:hAnsi="宋体"/>
        </w:rPr>
        <w:t>10.6.5设备供应商应在试运营基本条件安全评估前，向运营使用单位移交BC套工程文件及竣工图。在单位（子单位）工程质量验收通过后3-6个月内，在发包人的组织下向地铁集团、市城建档案馆移交工程文件及竣工图，并配合完成档案专项验收工作。</w:t>
      </w:r>
    </w:p>
    <w:p w14:paraId="25262107">
      <w:pPr>
        <w:spacing w:line="360" w:lineRule="auto"/>
        <w:ind w:firstLine="560"/>
        <w:rPr>
          <w:rFonts w:hint="eastAsia" w:ascii="宋体" w:hAnsi="宋体"/>
        </w:rPr>
      </w:pPr>
      <w:r>
        <w:rPr>
          <w:rFonts w:hint="eastAsia" w:ascii="宋体" w:hAnsi="宋体"/>
        </w:rPr>
        <w:t>10.6.6按照国家相关规定，设备供应商应做好本单位招投标文件收集归档工作，避免竣工结算无佐证文件。</w:t>
      </w:r>
    </w:p>
    <w:p w14:paraId="42CDD96B">
      <w:pPr>
        <w:widowControl/>
        <w:jc w:val="left"/>
        <w:rPr>
          <w:rFonts w:ascii="Times New Roman" w:hAnsi="Times New Roman"/>
          <w:kern w:val="0"/>
        </w:rPr>
      </w:pPr>
    </w:p>
    <w:p w14:paraId="483962E5">
      <w:pPr>
        <w:pStyle w:val="10"/>
        <w:rPr>
          <w:rFonts w:hint="eastAsia"/>
        </w:rPr>
      </w:pPr>
      <w:r>
        <w:rPr>
          <w:sz w:val="21"/>
        </w:rPr>
        <w:drawing>
          <wp:anchor distT="0" distB="0" distL="114300" distR="114300" simplePos="0" relativeHeight="251662336" behindDoc="1" locked="0" layoutInCell="1" allowOverlap="1">
            <wp:simplePos x="0" y="0"/>
            <wp:positionH relativeFrom="column">
              <wp:posOffset>-885190</wp:posOffset>
            </wp:positionH>
            <wp:positionV relativeFrom="paragraph">
              <wp:posOffset>-866140</wp:posOffset>
            </wp:positionV>
            <wp:extent cx="7559040" cy="10770870"/>
            <wp:effectExtent l="0" t="0" r="0" b="3810"/>
            <wp:wrapNone/>
            <wp:docPr id="4" name="图片 4" descr="x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xx"/>
                    <pic:cNvPicPr>
                      <a:picLocks noChangeAspect="1"/>
                    </pic:cNvPicPr>
                  </pic:nvPicPr>
                  <pic:blipFill>
                    <a:blip r:embed="rId4"/>
                    <a:stretch>
                      <a:fillRect/>
                    </a:stretch>
                  </pic:blipFill>
                  <pic:spPr>
                    <a:xfrm>
                      <a:off x="0" y="0"/>
                      <a:ext cx="7559040" cy="10770870"/>
                    </a:xfrm>
                    <a:prstGeom prst="rect">
                      <a:avLst/>
                    </a:prstGeom>
                  </pic:spPr>
                </pic:pic>
              </a:graphicData>
            </a:graphic>
          </wp:anchor>
        </w:drawing>
      </w:r>
    </w:p>
    <w:p w14:paraId="66EA4BDF">
      <w:pPr>
        <w:rPr>
          <w:rFonts w:hint="eastAsia"/>
        </w:rPr>
      </w:pPr>
    </w:p>
    <w:sectPr>
      <w:pgSz w:w="11906" w:h="16838"/>
      <w:pgMar w:top="1383" w:right="1406" w:bottom="1383"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405DF9"/>
    <w:multiLevelType w:val="multilevel"/>
    <w:tmpl w:val="0E405DF9"/>
    <w:lvl w:ilvl="0" w:tentative="0">
      <w:start w:val="1"/>
      <w:numFmt w:val="decimal"/>
      <w:lvlText w:val="%1）"/>
      <w:lvlJc w:val="left"/>
      <w:pPr>
        <w:tabs>
          <w:tab w:val="left" w:pos="962"/>
        </w:tabs>
        <w:ind w:left="962" w:hanging="480"/>
      </w:pPr>
      <w:rPr>
        <w:rFonts w:hint="default"/>
      </w:rPr>
    </w:lvl>
    <w:lvl w:ilvl="1" w:tentative="0">
      <w:start w:val="1"/>
      <w:numFmt w:val="lowerLetter"/>
      <w:lvlText w:val="%2)"/>
      <w:lvlJc w:val="left"/>
      <w:pPr>
        <w:tabs>
          <w:tab w:val="left" w:pos="1322"/>
        </w:tabs>
        <w:ind w:left="1322" w:hanging="42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1">
    <w:nsid w:val="128101CA"/>
    <w:multiLevelType w:val="multilevel"/>
    <w:tmpl w:val="128101CA"/>
    <w:lvl w:ilvl="0" w:tentative="0">
      <w:start w:val="1"/>
      <w:numFmt w:val="decimal"/>
      <w:lvlText w:val="%1）"/>
      <w:lvlJc w:val="left"/>
      <w:pPr>
        <w:tabs>
          <w:tab w:val="left" w:pos="1680"/>
        </w:tabs>
        <w:ind w:left="168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63CA18A"/>
    <w:multiLevelType w:val="singleLevel"/>
    <w:tmpl w:val="163CA18A"/>
    <w:lvl w:ilvl="0" w:tentative="0">
      <w:start w:val="1"/>
      <w:numFmt w:val="decimal"/>
      <w:suff w:val="nothing"/>
      <w:lvlText w:val="%1、"/>
      <w:lvlJc w:val="left"/>
    </w:lvl>
  </w:abstractNum>
  <w:abstractNum w:abstractNumId="3">
    <w:nsid w:val="1A44506D"/>
    <w:multiLevelType w:val="multilevel"/>
    <w:tmpl w:val="1A44506D"/>
    <w:lvl w:ilvl="0" w:tentative="0">
      <w:start w:val="1"/>
      <w:numFmt w:val="bullet"/>
      <w:lvlText w:val=""/>
      <w:lvlJc w:val="left"/>
      <w:pPr>
        <w:tabs>
          <w:tab w:val="left" w:pos="1380"/>
        </w:tabs>
        <w:ind w:left="1380" w:hanging="420"/>
      </w:pPr>
      <w:rPr>
        <w:rFonts w:hint="default" w:ascii="Wingdings" w:hAnsi="Wingdings"/>
      </w:rPr>
    </w:lvl>
    <w:lvl w:ilvl="1" w:tentative="0">
      <w:start w:val="1"/>
      <w:numFmt w:val="bullet"/>
      <w:lvlText w:val=""/>
      <w:lvlJc w:val="left"/>
      <w:pPr>
        <w:tabs>
          <w:tab w:val="left" w:pos="1800"/>
        </w:tabs>
        <w:ind w:left="1800" w:hanging="420"/>
      </w:pPr>
      <w:rPr>
        <w:rFonts w:hint="default" w:ascii="Wingdings" w:hAnsi="Wingdings"/>
      </w:rPr>
    </w:lvl>
    <w:lvl w:ilvl="2" w:tentative="0">
      <w:start w:val="1"/>
      <w:numFmt w:val="bullet"/>
      <w:lvlText w:val=""/>
      <w:lvlJc w:val="left"/>
      <w:pPr>
        <w:tabs>
          <w:tab w:val="left" w:pos="2220"/>
        </w:tabs>
        <w:ind w:left="2220" w:hanging="420"/>
      </w:pPr>
      <w:rPr>
        <w:rFonts w:hint="default" w:ascii="Wingdings" w:hAnsi="Wingdings"/>
      </w:rPr>
    </w:lvl>
    <w:lvl w:ilvl="3" w:tentative="0">
      <w:start w:val="1"/>
      <w:numFmt w:val="bullet"/>
      <w:lvlText w:val=""/>
      <w:lvlJc w:val="left"/>
      <w:pPr>
        <w:tabs>
          <w:tab w:val="left" w:pos="2640"/>
        </w:tabs>
        <w:ind w:left="2640" w:hanging="420"/>
      </w:pPr>
      <w:rPr>
        <w:rFonts w:hint="default" w:ascii="Wingdings" w:hAnsi="Wingdings"/>
      </w:rPr>
    </w:lvl>
    <w:lvl w:ilvl="4" w:tentative="0">
      <w:start w:val="1"/>
      <w:numFmt w:val="bullet"/>
      <w:lvlText w:val=""/>
      <w:lvlJc w:val="left"/>
      <w:pPr>
        <w:tabs>
          <w:tab w:val="left" w:pos="3060"/>
        </w:tabs>
        <w:ind w:left="3060" w:hanging="420"/>
      </w:pPr>
      <w:rPr>
        <w:rFonts w:hint="default" w:ascii="Wingdings" w:hAnsi="Wingdings"/>
      </w:rPr>
    </w:lvl>
    <w:lvl w:ilvl="5" w:tentative="0">
      <w:start w:val="1"/>
      <w:numFmt w:val="bullet"/>
      <w:lvlText w:val=""/>
      <w:lvlJc w:val="left"/>
      <w:pPr>
        <w:tabs>
          <w:tab w:val="left" w:pos="3480"/>
        </w:tabs>
        <w:ind w:left="3480" w:hanging="420"/>
      </w:pPr>
      <w:rPr>
        <w:rFonts w:hint="default" w:ascii="Wingdings" w:hAnsi="Wingdings"/>
      </w:rPr>
    </w:lvl>
    <w:lvl w:ilvl="6" w:tentative="0">
      <w:start w:val="1"/>
      <w:numFmt w:val="bullet"/>
      <w:lvlText w:val=""/>
      <w:lvlJc w:val="left"/>
      <w:pPr>
        <w:tabs>
          <w:tab w:val="left" w:pos="3900"/>
        </w:tabs>
        <w:ind w:left="3900" w:hanging="420"/>
      </w:pPr>
      <w:rPr>
        <w:rFonts w:hint="default" w:ascii="Wingdings" w:hAnsi="Wingdings"/>
      </w:rPr>
    </w:lvl>
    <w:lvl w:ilvl="7" w:tentative="0">
      <w:start w:val="1"/>
      <w:numFmt w:val="bullet"/>
      <w:lvlText w:val=""/>
      <w:lvlJc w:val="left"/>
      <w:pPr>
        <w:tabs>
          <w:tab w:val="left" w:pos="4320"/>
        </w:tabs>
        <w:ind w:left="4320" w:hanging="420"/>
      </w:pPr>
      <w:rPr>
        <w:rFonts w:hint="default" w:ascii="Wingdings" w:hAnsi="Wingdings"/>
      </w:rPr>
    </w:lvl>
    <w:lvl w:ilvl="8" w:tentative="0">
      <w:start w:val="1"/>
      <w:numFmt w:val="bullet"/>
      <w:lvlText w:val=""/>
      <w:lvlJc w:val="left"/>
      <w:pPr>
        <w:tabs>
          <w:tab w:val="left" w:pos="4740"/>
        </w:tabs>
        <w:ind w:left="4740" w:hanging="420"/>
      </w:pPr>
      <w:rPr>
        <w:rFonts w:hint="default" w:ascii="Wingdings" w:hAnsi="Wingdings"/>
      </w:rPr>
    </w:lvl>
  </w:abstractNum>
  <w:abstractNum w:abstractNumId="4">
    <w:nsid w:val="1FAD758D"/>
    <w:multiLevelType w:val="multilevel"/>
    <w:tmpl w:val="1FAD758D"/>
    <w:lvl w:ilvl="0" w:tentative="0">
      <w:start w:val="1"/>
      <w:numFmt w:val="bullet"/>
      <w:lvlText w:val=""/>
      <w:lvlJc w:val="left"/>
      <w:pPr>
        <w:tabs>
          <w:tab w:val="left" w:pos="1380"/>
        </w:tabs>
        <w:ind w:left="1380" w:hanging="420"/>
      </w:pPr>
      <w:rPr>
        <w:rFonts w:hint="default" w:ascii="Wingdings" w:hAnsi="Wingdings"/>
      </w:rPr>
    </w:lvl>
    <w:lvl w:ilvl="1" w:tentative="0">
      <w:start w:val="1"/>
      <w:numFmt w:val="bullet"/>
      <w:lvlText w:val=""/>
      <w:lvlJc w:val="left"/>
      <w:pPr>
        <w:tabs>
          <w:tab w:val="left" w:pos="1800"/>
        </w:tabs>
        <w:ind w:left="1800" w:hanging="420"/>
      </w:pPr>
      <w:rPr>
        <w:rFonts w:hint="default" w:ascii="Wingdings" w:hAnsi="Wingdings"/>
      </w:rPr>
    </w:lvl>
    <w:lvl w:ilvl="2" w:tentative="0">
      <w:start w:val="1"/>
      <w:numFmt w:val="bullet"/>
      <w:lvlText w:val=""/>
      <w:lvlJc w:val="left"/>
      <w:pPr>
        <w:tabs>
          <w:tab w:val="left" w:pos="2220"/>
        </w:tabs>
        <w:ind w:left="2220" w:hanging="420"/>
      </w:pPr>
      <w:rPr>
        <w:rFonts w:hint="default" w:ascii="Wingdings" w:hAnsi="Wingdings"/>
      </w:rPr>
    </w:lvl>
    <w:lvl w:ilvl="3" w:tentative="0">
      <w:start w:val="1"/>
      <w:numFmt w:val="bullet"/>
      <w:lvlText w:val=""/>
      <w:lvlJc w:val="left"/>
      <w:pPr>
        <w:tabs>
          <w:tab w:val="left" w:pos="2640"/>
        </w:tabs>
        <w:ind w:left="2640" w:hanging="420"/>
      </w:pPr>
      <w:rPr>
        <w:rFonts w:hint="default" w:ascii="Wingdings" w:hAnsi="Wingdings"/>
      </w:rPr>
    </w:lvl>
    <w:lvl w:ilvl="4" w:tentative="0">
      <w:start w:val="1"/>
      <w:numFmt w:val="bullet"/>
      <w:lvlText w:val=""/>
      <w:lvlJc w:val="left"/>
      <w:pPr>
        <w:tabs>
          <w:tab w:val="left" w:pos="3060"/>
        </w:tabs>
        <w:ind w:left="3060" w:hanging="420"/>
      </w:pPr>
      <w:rPr>
        <w:rFonts w:hint="default" w:ascii="Wingdings" w:hAnsi="Wingdings"/>
      </w:rPr>
    </w:lvl>
    <w:lvl w:ilvl="5" w:tentative="0">
      <w:start w:val="1"/>
      <w:numFmt w:val="bullet"/>
      <w:lvlText w:val=""/>
      <w:lvlJc w:val="left"/>
      <w:pPr>
        <w:tabs>
          <w:tab w:val="left" w:pos="3480"/>
        </w:tabs>
        <w:ind w:left="3480" w:hanging="420"/>
      </w:pPr>
      <w:rPr>
        <w:rFonts w:hint="default" w:ascii="Wingdings" w:hAnsi="Wingdings"/>
      </w:rPr>
    </w:lvl>
    <w:lvl w:ilvl="6" w:tentative="0">
      <w:start w:val="1"/>
      <w:numFmt w:val="bullet"/>
      <w:lvlText w:val=""/>
      <w:lvlJc w:val="left"/>
      <w:pPr>
        <w:tabs>
          <w:tab w:val="left" w:pos="3900"/>
        </w:tabs>
        <w:ind w:left="3900" w:hanging="420"/>
      </w:pPr>
      <w:rPr>
        <w:rFonts w:hint="default" w:ascii="Wingdings" w:hAnsi="Wingdings"/>
      </w:rPr>
    </w:lvl>
    <w:lvl w:ilvl="7" w:tentative="0">
      <w:start w:val="1"/>
      <w:numFmt w:val="bullet"/>
      <w:lvlText w:val=""/>
      <w:lvlJc w:val="left"/>
      <w:pPr>
        <w:tabs>
          <w:tab w:val="left" w:pos="4320"/>
        </w:tabs>
        <w:ind w:left="4320" w:hanging="420"/>
      </w:pPr>
      <w:rPr>
        <w:rFonts w:hint="default" w:ascii="Wingdings" w:hAnsi="Wingdings"/>
      </w:rPr>
    </w:lvl>
    <w:lvl w:ilvl="8" w:tentative="0">
      <w:start w:val="1"/>
      <w:numFmt w:val="bullet"/>
      <w:lvlText w:val=""/>
      <w:lvlJc w:val="left"/>
      <w:pPr>
        <w:tabs>
          <w:tab w:val="left" w:pos="4740"/>
        </w:tabs>
        <w:ind w:left="4740" w:hanging="420"/>
      </w:pPr>
      <w:rPr>
        <w:rFonts w:hint="default" w:ascii="Wingdings" w:hAnsi="Wingdings"/>
      </w:rPr>
    </w:lvl>
  </w:abstractNum>
  <w:abstractNum w:abstractNumId="5">
    <w:nsid w:val="22346012"/>
    <w:multiLevelType w:val="multilevel"/>
    <w:tmpl w:val="22346012"/>
    <w:lvl w:ilvl="0" w:tentative="0">
      <w:start w:val="1"/>
      <w:numFmt w:val="decimal"/>
      <w:lvlText w:val="%1）"/>
      <w:lvlJc w:val="left"/>
      <w:pPr>
        <w:tabs>
          <w:tab w:val="left" w:pos="960"/>
        </w:tabs>
        <w:ind w:left="960" w:hanging="480"/>
      </w:pPr>
      <w:rPr>
        <w:rFonts w:hint="default"/>
      </w:rPr>
    </w:lvl>
    <w:lvl w:ilvl="1" w:tentative="0">
      <w:start w:val="4"/>
      <w:numFmt w:val="decimal"/>
      <w:lvlText w:val="%2)"/>
      <w:lvlJc w:val="left"/>
      <w:pPr>
        <w:tabs>
          <w:tab w:val="left" w:pos="1260"/>
        </w:tabs>
        <w:ind w:left="1260" w:hanging="36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271D3947"/>
    <w:multiLevelType w:val="multilevel"/>
    <w:tmpl w:val="271D3947"/>
    <w:lvl w:ilvl="0" w:tentative="0">
      <w:start w:val="1"/>
      <w:numFmt w:val="bullet"/>
      <w:lvlText w:val=""/>
      <w:lvlJc w:val="left"/>
      <w:pPr>
        <w:tabs>
          <w:tab w:val="left" w:pos="1380"/>
        </w:tabs>
        <w:ind w:left="1380" w:hanging="420"/>
      </w:pPr>
      <w:rPr>
        <w:rFonts w:hint="default" w:ascii="Wingdings" w:hAnsi="Wingdings"/>
      </w:rPr>
    </w:lvl>
    <w:lvl w:ilvl="1" w:tentative="0">
      <w:start w:val="1"/>
      <w:numFmt w:val="bullet"/>
      <w:lvlText w:val=""/>
      <w:lvlJc w:val="left"/>
      <w:pPr>
        <w:tabs>
          <w:tab w:val="left" w:pos="1800"/>
        </w:tabs>
        <w:ind w:left="1800" w:hanging="420"/>
      </w:pPr>
      <w:rPr>
        <w:rFonts w:hint="default" w:ascii="Wingdings" w:hAnsi="Wingdings"/>
      </w:rPr>
    </w:lvl>
    <w:lvl w:ilvl="2" w:tentative="0">
      <w:start w:val="1"/>
      <w:numFmt w:val="bullet"/>
      <w:lvlText w:val=""/>
      <w:lvlJc w:val="left"/>
      <w:pPr>
        <w:tabs>
          <w:tab w:val="left" w:pos="2220"/>
        </w:tabs>
        <w:ind w:left="2220" w:hanging="420"/>
      </w:pPr>
      <w:rPr>
        <w:rFonts w:hint="default" w:ascii="Wingdings" w:hAnsi="Wingdings"/>
      </w:rPr>
    </w:lvl>
    <w:lvl w:ilvl="3" w:tentative="0">
      <w:start w:val="1"/>
      <w:numFmt w:val="bullet"/>
      <w:lvlText w:val=""/>
      <w:lvlJc w:val="left"/>
      <w:pPr>
        <w:tabs>
          <w:tab w:val="left" w:pos="2640"/>
        </w:tabs>
        <w:ind w:left="2640" w:hanging="420"/>
      </w:pPr>
      <w:rPr>
        <w:rFonts w:hint="default" w:ascii="Wingdings" w:hAnsi="Wingdings"/>
      </w:rPr>
    </w:lvl>
    <w:lvl w:ilvl="4" w:tentative="0">
      <w:start w:val="1"/>
      <w:numFmt w:val="bullet"/>
      <w:lvlText w:val=""/>
      <w:lvlJc w:val="left"/>
      <w:pPr>
        <w:tabs>
          <w:tab w:val="left" w:pos="3060"/>
        </w:tabs>
        <w:ind w:left="3060" w:hanging="420"/>
      </w:pPr>
      <w:rPr>
        <w:rFonts w:hint="default" w:ascii="Wingdings" w:hAnsi="Wingdings"/>
      </w:rPr>
    </w:lvl>
    <w:lvl w:ilvl="5" w:tentative="0">
      <w:start w:val="1"/>
      <w:numFmt w:val="bullet"/>
      <w:lvlText w:val=""/>
      <w:lvlJc w:val="left"/>
      <w:pPr>
        <w:tabs>
          <w:tab w:val="left" w:pos="3480"/>
        </w:tabs>
        <w:ind w:left="3480" w:hanging="420"/>
      </w:pPr>
      <w:rPr>
        <w:rFonts w:hint="default" w:ascii="Wingdings" w:hAnsi="Wingdings"/>
      </w:rPr>
    </w:lvl>
    <w:lvl w:ilvl="6" w:tentative="0">
      <w:start w:val="1"/>
      <w:numFmt w:val="bullet"/>
      <w:lvlText w:val=""/>
      <w:lvlJc w:val="left"/>
      <w:pPr>
        <w:tabs>
          <w:tab w:val="left" w:pos="3900"/>
        </w:tabs>
        <w:ind w:left="3900" w:hanging="420"/>
      </w:pPr>
      <w:rPr>
        <w:rFonts w:hint="default" w:ascii="Wingdings" w:hAnsi="Wingdings"/>
      </w:rPr>
    </w:lvl>
    <w:lvl w:ilvl="7" w:tentative="0">
      <w:start w:val="1"/>
      <w:numFmt w:val="bullet"/>
      <w:lvlText w:val=""/>
      <w:lvlJc w:val="left"/>
      <w:pPr>
        <w:tabs>
          <w:tab w:val="left" w:pos="4320"/>
        </w:tabs>
        <w:ind w:left="4320" w:hanging="420"/>
      </w:pPr>
      <w:rPr>
        <w:rFonts w:hint="default" w:ascii="Wingdings" w:hAnsi="Wingdings"/>
      </w:rPr>
    </w:lvl>
    <w:lvl w:ilvl="8" w:tentative="0">
      <w:start w:val="1"/>
      <w:numFmt w:val="bullet"/>
      <w:lvlText w:val=""/>
      <w:lvlJc w:val="left"/>
      <w:pPr>
        <w:tabs>
          <w:tab w:val="left" w:pos="4740"/>
        </w:tabs>
        <w:ind w:left="4740" w:hanging="420"/>
      </w:pPr>
      <w:rPr>
        <w:rFonts w:hint="default" w:ascii="Wingdings" w:hAnsi="Wingdings"/>
      </w:rPr>
    </w:lvl>
  </w:abstractNum>
  <w:abstractNum w:abstractNumId="7">
    <w:nsid w:val="2937574C"/>
    <w:multiLevelType w:val="multilevel"/>
    <w:tmpl w:val="2937574C"/>
    <w:lvl w:ilvl="0" w:tentative="0">
      <w:start w:val="1"/>
      <w:numFmt w:val="bullet"/>
      <w:lvlText w:val=""/>
      <w:lvlJc w:val="left"/>
      <w:pPr>
        <w:tabs>
          <w:tab w:val="left" w:pos="1380"/>
        </w:tabs>
        <w:ind w:left="138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31083922"/>
    <w:multiLevelType w:val="multilevel"/>
    <w:tmpl w:val="31083922"/>
    <w:lvl w:ilvl="0" w:tentative="0">
      <w:start w:val="1"/>
      <w:numFmt w:val="lowerLetter"/>
      <w:lvlText w:val="%1)"/>
      <w:lvlJc w:val="left"/>
      <w:pPr>
        <w:tabs>
          <w:tab w:val="left" w:pos="900"/>
        </w:tabs>
        <w:ind w:left="900" w:hanging="420"/>
      </w:pPr>
      <w:rPr>
        <w:rFonts w:hint="eastAsia"/>
      </w:r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9">
    <w:nsid w:val="33D3515F"/>
    <w:multiLevelType w:val="multilevel"/>
    <w:tmpl w:val="33D3515F"/>
    <w:lvl w:ilvl="0" w:tentative="0">
      <w:start w:val="1"/>
      <w:numFmt w:val="decimal"/>
      <w:lvlText w:val="2.5.3.%1"/>
      <w:lvlJc w:val="left"/>
      <w:pPr>
        <w:tabs>
          <w:tab w:val="left" w:pos="1980"/>
        </w:tabs>
        <w:ind w:left="1680" w:hanging="420"/>
      </w:pPr>
      <w:rPr>
        <w:rFonts w:hint="eastAsia"/>
      </w:rPr>
    </w:lvl>
    <w:lvl w:ilvl="1" w:tentative="0">
      <w:start w:val="1"/>
      <w:numFmt w:val="decimal"/>
      <w:lvlText w:val="%2）"/>
      <w:lvlJc w:val="left"/>
      <w:pPr>
        <w:tabs>
          <w:tab w:val="left" w:pos="906"/>
        </w:tabs>
        <w:ind w:left="906" w:hanging="48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348B00CB"/>
    <w:multiLevelType w:val="multilevel"/>
    <w:tmpl w:val="348B00CB"/>
    <w:lvl w:ilvl="0" w:tentative="0">
      <w:start w:val="1"/>
      <w:numFmt w:val="decimal"/>
      <w:lvlText w:val="%1）"/>
      <w:lvlJc w:val="left"/>
      <w:pPr>
        <w:tabs>
          <w:tab w:val="left" w:pos="960"/>
        </w:tabs>
        <w:ind w:left="960" w:hanging="480"/>
      </w:pPr>
      <w:rPr>
        <w:rFonts w:hint="default"/>
      </w:rPr>
    </w:lvl>
    <w:lvl w:ilvl="1" w:tentative="0">
      <w:start w:val="1"/>
      <w:numFmt w:val="bullet"/>
      <w:lvlText w:val=""/>
      <w:lvlJc w:val="left"/>
      <w:pPr>
        <w:tabs>
          <w:tab w:val="left" w:pos="1320"/>
        </w:tabs>
        <w:ind w:left="1320" w:hanging="420"/>
      </w:pPr>
      <w:rPr>
        <w:rFonts w:hint="default" w:ascii="Wingdings" w:hAnsi="Wingdings"/>
      </w:rPr>
    </w:lvl>
    <w:lvl w:ilvl="2" w:tentative="0">
      <w:start w:val="3"/>
      <w:numFmt w:val="decimal"/>
      <w:lvlText w:val="%3)"/>
      <w:lvlJc w:val="left"/>
      <w:pPr>
        <w:tabs>
          <w:tab w:val="left" w:pos="1680"/>
        </w:tabs>
        <w:ind w:left="1680" w:hanging="360"/>
      </w:pPr>
      <w:rPr>
        <w:rFonts w:hint="default"/>
      </w:r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41924D89"/>
    <w:multiLevelType w:val="multilevel"/>
    <w:tmpl w:val="41924D89"/>
    <w:lvl w:ilvl="0" w:tentative="0">
      <w:start w:val="1"/>
      <w:numFmt w:val="bullet"/>
      <w:lvlText w:val=""/>
      <w:lvlJc w:val="left"/>
      <w:pPr>
        <w:tabs>
          <w:tab w:val="left" w:pos="1380"/>
        </w:tabs>
        <w:ind w:left="1380" w:hanging="420"/>
      </w:pPr>
      <w:rPr>
        <w:rFonts w:hint="default" w:ascii="Wingdings" w:hAnsi="Wingdings"/>
      </w:rPr>
    </w:lvl>
    <w:lvl w:ilvl="1" w:tentative="0">
      <w:start w:val="1"/>
      <w:numFmt w:val="bullet"/>
      <w:lvlText w:val=""/>
      <w:lvlJc w:val="left"/>
      <w:pPr>
        <w:tabs>
          <w:tab w:val="left" w:pos="1800"/>
        </w:tabs>
        <w:ind w:left="1800" w:hanging="420"/>
      </w:pPr>
      <w:rPr>
        <w:rFonts w:hint="default" w:ascii="Wingdings" w:hAnsi="Wingdings"/>
      </w:rPr>
    </w:lvl>
    <w:lvl w:ilvl="2" w:tentative="0">
      <w:start w:val="1"/>
      <w:numFmt w:val="bullet"/>
      <w:lvlText w:val=""/>
      <w:lvlJc w:val="left"/>
      <w:pPr>
        <w:tabs>
          <w:tab w:val="left" w:pos="2220"/>
        </w:tabs>
        <w:ind w:left="2220" w:hanging="420"/>
      </w:pPr>
      <w:rPr>
        <w:rFonts w:hint="default" w:ascii="Wingdings" w:hAnsi="Wingdings"/>
      </w:rPr>
    </w:lvl>
    <w:lvl w:ilvl="3" w:tentative="0">
      <w:start w:val="1"/>
      <w:numFmt w:val="bullet"/>
      <w:lvlText w:val=""/>
      <w:lvlJc w:val="left"/>
      <w:pPr>
        <w:tabs>
          <w:tab w:val="left" w:pos="2640"/>
        </w:tabs>
        <w:ind w:left="2640" w:hanging="420"/>
      </w:pPr>
      <w:rPr>
        <w:rFonts w:hint="default" w:ascii="Wingdings" w:hAnsi="Wingdings"/>
      </w:rPr>
    </w:lvl>
    <w:lvl w:ilvl="4" w:tentative="0">
      <w:start w:val="1"/>
      <w:numFmt w:val="bullet"/>
      <w:lvlText w:val=""/>
      <w:lvlJc w:val="left"/>
      <w:pPr>
        <w:tabs>
          <w:tab w:val="left" w:pos="3060"/>
        </w:tabs>
        <w:ind w:left="3060" w:hanging="420"/>
      </w:pPr>
      <w:rPr>
        <w:rFonts w:hint="default" w:ascii="Wingdings" w:hAnsi="Wingdings"/>
      </w:rPr>
    </w:lvl>
    <w:lvl w:ilvl="5" w:tentative="0">
      <w:start w:val="1"/>
      <w:numFmt w:val="bullet"/>
      <w:lvlText w:val=""/>
      <w:lvlJc w:val="left"/>
      <w:pPr>
        <w:tabs>
          <w:tab w:val="left" w:pos="3480"/>
        </w:tabs>
        <w:ind w:left="3480" w:hanging="420"/>
      </w:pPr>
      <w:rPr>
        <w:rFonts w:hint="default" w:ascii="Wingdings" w:hAnsi="Wingdings"/>
      </w:rPr>
    </w:lvl>
    <w:lvl w:ilvl="6" w:tentative="0">
      <w:start w:val="1"/>
      <w:numFmt w:val="bullet"/>
      <w:lvlText w:val=""/>
      <w:lvlJc w:val="left"/>
      <w:pPr>
        <w:tabs>
          <w:tab w:val="left" w:pos="3900"/>
        </w:tabs>
        <w:ind w:left="3900" w:hanging="420"/>
      </w:pPr>
      <w:rPr>
        <w:rFonts w:hint="default" w:ascii="Wingdings" w:hAnsi="Wingdings"/>
      </w:rPr>
    </w:lvl>
    <w:lvl w:ilvl="7" w:tentative="0">
      <w:start w:val="1"/>
      <w:numFmt w:val="bullet"/>
      <w:lvlText w:val=""/>
      <w:lvlJc w:val="left"/>
      <w:pPr>
        <w:tabs>
          <w:tab w:val="left" w:pos="4320"/>
        </w:tabs>
        <w:ind w:left="4320" w:hanging="420"/>
      </w:pPr>
      <w:rPr>
        <w:rFonts w:hint="default" w:ascii="Wingdings" w:hAnsi="Wingdings"/>
      </w:rPr>
    </w:lvl>
    <w:lvl w:ilvl="8" w:tentative="0">
      <w:start w:val="1"/>
      <w:numFmt w:val="bullet"/>
      <w:lvlText w:val=""/>
      <w:lvlJc w:val="left"/>
      <w:pPr>
        <w:tabs>
          <w:tab w:val="left" w:pos="4740"/>
        </w:tabs>
        <w:ind w:left="4740" w:hanging="420"/>
      </w:pPr>
      <w:rPr>
        <w:rFonts w:hint="default" w:ascii="Wingdings" w:hAnsi="Wingdings"/>
      </w:rPr>
    </w:lvl>
  </w:abstractNum>
  <w:abstractNum w:abstractNumId="12">
    <w:nsid w:val="4381750B"/>
    <w:multiLevelType w:val="multilevel"/>
    <w:tmpl w:val="4381750B"/>
    <w:lvl w:ilvl="0" w:tentative="0">
      <w:start w:val="2"/>
      <w:numFmt w:val="decimal"/>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4CBD4654"/>
    <w:multiLevelType w:val="multilevel"/>
    <w:tmpl w:val="4CBD4654"/>
    <w:lvl w:ilvl="0" w:tentative="0">
      <w:start w:val="1"/>
      <w:numFmt w:val="bullet"/>
      <w:lvlText w:val=""/>
      <w:lvlJc w:val="left"/>
      <w:pPr>
        <w:tabs>
          <w:tab w:val="left" w:pos="1380"/>
        </w:tabs>
        <w:ind w:left="1380" w:hanging="420"/>
      </w:pPr>
      <w:rPr>
        <w:rFonts w:hint="default" w:ascii="Wingdings" w:hAnsi="Wingdings"/>
      </w:rPr>
    </w:lvl>
    <w:lvl w:ilvl="1" w:tentative="0">
      <w:start w:val="1"/>
      <w:numFmt w:val="bullet"/>
      <w:lvlText w:val=""/>
      <w:lvlJc w:val="left"/>
      <w:pPr>
        <w:tabs>
          <w:tab w:val="left" w:pos="1800"/>
        </w:tabs>
        <w:ind w:left="1800" w:hanging="420"/>
      </w:pPr>
      <w:rPr>
        <w:rFonts w:hint="default" w:ascii="Wingdings" w:hAnsi="Wingdings"/>
      </w:rPr>
    </w:lvl>
    <w:lvl w:ilvl="2" w:tentative="0">
      <w:start w:val="1"/>
      <w:numFmt w:val="bullet"/>
      <w:lvlText w:val=""/>
      <w:lvlJc w:val="left"/>
      <w:pPr>
        <w:tabs>
          <w:tab w:val="left" w:pos="2220"/>
        </w:tabs>
        <w:ind w:left="2220" w:hanging="420"/>
      </w:pPr>
      <w:rPr>
        <w:rFonts w:hint="default" w:ascii="Wingdings" w:hAnsi="Wingdings"/>
      </w:rPr>
    </w:lvl>
    <w:lvl w:ilvl="3" w:tentative="0">
      <w:start w:val="1"/>
      <w:numFmt w:val="bullet"/>
      <w:lvlText w:val=""/>
      <w:lvlJc w:val="left"/>
      <w:pPr>
        <w:tabs>
          <w:tab w:val="left" w:pos="2640"/>
        </w:tabs>
        <w:ind w:left="2640" w:hanging="420"/>
      </w:pPr>
      <w:rPr>
        <w:rFonts w:hint="default" w:ascii="Wingdings" w:hAnsi="Wingdings"/>
      </w:rPr>
    </w:lvl>
    <w:lvl w:ilvl="4" w:tentative="0">
      <w:start w:val="1"/>
      <w:numFmt w:val="bullet"/>
      <w:lvlText w:val=""/>
      <w:lvlJc w:val="left"/>
      <w:pPr>
        <w:tabs>
          <w:tab w:val="left" w:pos="3060"/>
        </w:tabs>
        <w:ind w:left="3060" w:hanging="420"/>
      </w:pPr>
      <w:rPr>
        <w:rFonts w:hint="default" w:ascii="Wingdings" w:hAnsi="Wingdings"/>
      </w:rPr>
    </w:lvl>
    <w:lvl w:ilvl="5" w:tentative="0">
      <w:start w:val="1"/>
      <w:numFmt w:val="bullet"/>
      <w:lvlText w:val=""/>
      <w:lvlJc w:val="left"/>
      <w:pPr>
        <w:tabs>
          <w:tab w:val="left" w:pos="3480"/>
        </w:tabs>
        <w:ind w:left="3480" w:hanging="420"/>
      </w:pPr>
      <w:rPr>
        <w:rFonts w:hint="default" w:ascii="Wingdings" w:hAnsi="Wingdings"/>
      </w:rPr>
    </w:lvl>
    <w:lvl w:ilvl="6" w:tentative="0">
      <w:start w:val="1"/>
      <w:numFmt w:val="bullet"/>
      <w:lvlText w:val=""/>
      <w:lvlJc w:val="left"/>
      <w:pPr>
        <w:tabs>
          <w:tab w:val="left" w:pos="3900"/>
        </w:tabs>
        <w:ind w:left="3900" w:hanging="420"/>
      </w:pPr>
      <w:rPr>
        <w:rFonts w:hint="default" w:ascii="Wingdings" w:hAnsi="Wingdings"/>
      </w:rPr>
    </w:lvl>
    <w:lvl w:ilvl="7" w:tentative="0">
      <w:start w:val="1"/>
      <w:numFmt w:val="bullet"/>
      <w:lvlText w:val=""/>
      <w:lvlJc w:val="left"/>
      <w:pPr>
        <w:tabs>
          <w:tab w:val="left" w:pos="4320"/>
        </w:tabs>
        <w:ind w:left="4320" w:hanging="420"/>
      </w:pPr>
      <w:rPr>
        <w:rFonts w:hint="default" w:ascii="Wingdings" w:hAnsi="Wingdings"/>
      </w:rPr>
    </w:lvl>
    <w:lvl w:ilvl="8" w:tentative="0">
      <w:start w:val="1"/>
      <w:numFmt w:val="bullet"/>
      <w:lvlText w:val=""/>
      <w:lvlJc w:val="left"/>
      <w:pPr>
        <w:tabs>
          <w:tab w:val="left" w:pos="4740"/>
        </w:tabs>
        <w:ind w:left="4740" w:hanging="420"/>
      </w:pPr>
      <w:rPr>
        <w:rFonts w:hint="default" w:ascii="Wingdings" w:hAnsi="Wingdings"/>
      </w:rPr>
    </w:lvl>
  </w:abstractNum>
  <w:abstractNum w:abstractNumId="14">
    <w:nsid w:val="4DBC710C"/>
    <w:multiLevelType w:val="multilevel"/>
    <w:tmpl w:val="4DBC710C"/>
    <w:lvl w:ilvl="0" w:tentative="0">
      <w:start w:val="2"/>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5">
    <w:nsid w:val="4F2208EF"/>
    <w:multiLevelType w:val="multilevel"/>
    <w:tmpl w:val="4F2208EF"/>
    <w:lvl w:ilvl="0" w:tentative="0">
      <w:start w:val="1"/>
      <w:numFmt w:val="bullet"/>
      <w:lvlText w:val=""/>
      <w:lvlJc w:val="left"/>
      <w:pPr>
        <w:tabs>
          <w:tab w:val="left" w:pos="1380"/>
        </w:tabs>
        <w:ind w:left="1380" w:hanging="420"/>
      </w:pPr>
      <w:rPr>
        <w:rFonts w:hint="default" w:ascii="Wingdings" w:hAnsi="Wingdings"/>
      </w:rPr>
    </w:lvl>
    <w:lvl w:ilvl="1" w:tentative="0">
      <w:start w:val="1"/>
      <w:numFmt w:val="bullet"/>
      <w:lvlText w:val=""/>
      <w:lvlJc w:val="left"/>
      <w:pPr>
        <w:tabs>
          <w:tab w:val="left" w:pos="1800"/>
        </w:tabs>
        <w:ind w:left="1800" w:hanging="420"/>
      </w:pPr>
      <w:rPr>
        <w:rFonts w:hint="default" w:ascii="Wingdings" w:hAnsi="Wingdings"/>
      </w:rPr>
    </w:lvl>
    <w:lvl w:ilvl="2" w:tentative="0">
      <w:start w:val="1"/>
      <w:numFmt w:val="bullet"/>
      <w:lvlText w:val=""/>
      <w:lvlJc w:val="left"/>
      <w:pPr>
        <w:tabs>
          <w:tab w:val="left" w:pos="2220"/>
        </w:tabs>
        <w:ind w:left="2220" w:hanging="420"/>
      </w:pPr>
      <w:rPr>
        <w:rFonts w:hint="default" w:ascii="Wingdings" w:hAnsi="Wingdings"/>
      </w:rPr>
    </w:lvl>
    <w:lvl w:ilvl="3" w:tentative="0">
      <w:start w:val="1"/>
      <w:numFmt w:val="bullet"/>
      <w:lvlText w:val=""/>
      <w:lvlJc w:val="left"/>
      <w:pPr>
        <w:tabs>
          <w:tab w:val="left" w:pos="2640"/>
        </w:tabs>
        <w:ind w:left="2640" w:hanging="420"/>
      </w:pPr>
      <w:rPr>
        <w:rFonts w:hint="default" w:ascii="Wingdings" w:hAnsi="Wingdings"/>
      </w:rPr>
    </w:lvl>
    <w:lvl w:ilvl="4" w:tentative="0">
      <w:start w:val="1"/>
      <w:numFmt w:val="bullet"/>
      <w:lvlText w:val=""/>
      <w:lvlJc w:val="left"/>
      <w:pPr>
        <w:tabs>
          <w:tab w:val="left" w:pos="3060"/>
        </w:tabs>
        <w:ind w:left="3060" w:hanging="420"/>
      </w:pPr>
      <w:rPr>
        <w:rFonts w:hint="default" w:ascii="Wingdings" w:hAnsi="Wingdings"/>
      </w:rPr>
    </w:lvl>
    <w:lvl w:ilvl="5" w:tentative="0">
      <w:start w:val="1"/>
      <w:numFmt w:val="bullet"/>
      <w:lvlText w:val=""/>
      <w:lvlJc w:val="left"/>
      <w:pPr>
        <w:tabs>
          <w:tab w:val="left" w:pos="3480"/>
        </w:tabs>
        <w:ind w:left="3480" w:hanging="420"/>
      </w:pPr>
      <w:rPr>
        <w:rFonts w:hint="default" w:ascii="Wingdings" w:hAnsi="Wingdings"/>
      </w:rPr>
    </w:lvl>
    <w:lvl w:ilvl="6" w:tentative="0">
      <w:start w:val="1"/>
      <w:numFmt w:val="bullet"/>
      <w:lvlText w:val=""/>
      <w:lvlJc w:val="left"/>
      <w:pPr>
        <w:tabs>
          <w:tab w:val="left" w:pos="3900"/>
        </w:tabs>
        <w:ind w:left="3900" w:hanging="420"/>
      </w:pPr>
      <w:rPr>
        <w:rFonts w:hint="default" w:ascii="Wingdings" w:hAnsi="Wingdings"/>
      </w:rPr>
    </w:lvl>
    <w:lvl w:ilvl="7" w:tentative="0">
      <w:start w:val="1"/>
      <w:numFmt w:val="bullet"/>
      <w:lvlText w:val=""/>
      <w:lvlJc w:val="left"/>
      <w:pPr>
        <w:tabs>
          <w:tab w:val="left" w:pos="4320"/>
        </w:tabs>
        <w:ind w:left="4320" w:hanging="420"/>
      </w:pPr>
      <w:rPr>
        <w:rFonts w:hint="default" w:ascii="Wingdings" w:hAnsi="Wingdings"/>
      </w:rPr>
    </w:lvl>
    <w:lvl w:ilvl="8" w:tentative="0">
      <w:start w:val="1"/>
      <w:numFmt w:val="bullet"/>
      <w:lvlText w:val=""/>
      <w:lvlJc w:val="left"/>
      <w:pPr>
        <w:tabs>
          <w:tab w:val="left" w:pos="4740"/>
        </w:tabs>
        <w:ind w:left="4740" w:hanging="420"/>
      </w:pPr>
      <w:rPr>
        <w:rFonts w:hint="default" w:ascii="Wingdings" w:hAnsi="Wingdings"/>
      </w:rPr>
    </w:lvl>
  </w:abstractNum>
  <w:abstractNum w:abstractNumId="16">
    <w:nsid w:val="50F17D79"/>
    <w:multiLevelType w:val="multilevel"/>
    <w:tmpl w:val="50F17D79"/>
    <w:lvl w:ilvl="0" w:tentative="0">
      <w:start w:val="1"/>
      <w:numFmt w:val="bullet"/>
      <w:lvlText w:val=""/>
      <w:lvlJc w:val="left"/>
      <w:pPr>
        <w:tabs>
          <w:tab w:val="left" w:pos="1380"/>
        </w:tabs>
        <w:ind w:left="1380" w:hanging="420"/>
      </w:pPr>
      <w:rPr>
        <w:rFonts w:hint="default" w:ascii="Wingdings" w:hAnsi="Wingdings"/>
      </w:rPr>
    </w:lvl>
    <w:lvl w:ilvl="1" w:tentative="0">
      <w:start w:val="1"/>
      <w:numFmt w:val="bullet"/>
      <w:lvlText w:val=""/>
      <w:lvlJc w:val="left"/>
      <w:pPr>
        <w:tabs>
          <w:tab w:val="left" w:pos="1800"/>
        </w:tabs>
        <w:ind w:left="1800" w:hanging="420"/>
      </w:pPr>
      <w:rPr>
        <w:rFonts w:hint="default" w:ascii="Wingdings" w:hAnsi="Wingdings"/>
      </w:rPr>
    </w:lvl>
    <w:lvl w:ilvl="2" w:tentative="0">
      <w:start w:val="1"/>
      <w:numFmt w:val="bullet"/>
      <w:lvlText w:val=""/>
      <w:lvlJc w:val="left"/>
      <w:pPr>
        <w:tabs>
          <w:tab w:val="left" w:pos="2220"/>
        </w:tabs>
        <w:ind w:left="2220" w:hanging="420"/>
      </w:pPr>
      <w:rPr>
        <w:rFonts w:hint="default" w:ascii="Wingdings" w:hAnsi="Wingdings"/>
      </w:rPr>
    </w:lvl>
    <w:lvl w:ilvl="3" w:tentative="0">
      <w:start w:val="1"/>
      <w:numFmt w:val="bullet"/>
      <w:lvlText w:val=""/>
      <w:lvlJc w:val="left"/>
      <w:pPr>
        <w:tabs>
          <w:tab w:val="left" w:pos="2640"/>
        </w:tabs>
        <w:ind w:left="2640" w:hanging="420"/>
      </w:pPr>
      <w:rPr>
        <w:rFonts w:hint="default" w:ascii="Wingdings" w:hAnsi="Wingdings"/>
      </w:rPr>
    </w:lvl>
    <w:lvl w:ilvl="4" w:tentative="0">
      <w:start w:val="1"/>
      <w:numFmt w:val="bullet"/>
      <w:lvlText w:val=""/>
      <w:lvlJc w:val="left"/>
      <w:pPr>
        <w:tabs>
          <w:tab w:val="left" w:pos="3060"/>
        </w:tabs>
        <w:ind w:left="3060" w:hanging="420"/>
      </w:pPr>
      <w:rPr>
        <w:rFonts w:hint="default" w:ascii="Wingdings" w:hAnsi="Wingdings"/>
      </w:rPr>
    </w:lvl>
    <w:lvl w:ilvl="5" w:tentative="0">
      <w:start w:val="1"/>
      <w:numFmt w:val="bullet"/>
      <w:lvlText w:val=""/>
      <w:lvlJc w:val="left"/>
      <w:pPr>
        <w:tabs>
          <w:tab w:val="left" w:pos="3480"/>
        </w:tabs>
        <w:ind w:left="3480" w:hanging="420"/>
      </w:pPr>
      <w:rPr>
        <w:rFonts w:hint="default" w:ascii="Wingdings" w:hAnsi="Wingdings"/>
      </w:rPr>
    </w:lvl>
    <w:lvl w:ilvl="6" w:tentative="0">
      <w:start w:val="1"/>
      <w:numFmt w:val="bullet"/>
      <w:lvlText w:val=""/>
      <w:lvlJc w:val="left"/>
      <w:pPr>
        <w:tabs>
          <w:tab w:val="left" w:pos="3900"/>
        </w:tabs>
        <w:ind w:left="3900" w:hanging="420"/>
      </w:pPr>
      <w:rPr>
        <w:rFonts w:hint="default" w:ascii="Wingdings" w:hAnsi="Wingdings"/>
      </w:rPr>
    </w:lvl>
    <w:lvl w:ilvl="7" w:tentative="0">
      <w:start w:val="1"/>
      <w:numFmt w:val="bullet"/>
      <w:lvlText w:val=""/>
      <w:lvlJc w:val="left"/>
      <w:pPr>
        <w:tabs>
          <w:tab w:val="left" w:pos="4320"/>
        </w:tabs>
        <w:ind w:left="4320" w:hanging="420"/>
      </w:pPr>
      <w:rPr>
        <w:rFonts w:hint="default" w:ascii="Wingdings" w:hAnsi="Wingdings"/>
      </w:rPr>
    </w:lvl>
    <w:lvl w:ilvl="8" w:tentative="0">
      <w:start w:val="1"/>
      <w:numFmt w:val="bullet"/>
      <w:lvlText w:val=""/>
      <w:lvlJc w:val="left"/>
      <w:pPr>
        <w:tabs>
          <w:tab w:val="left" w:pos="4740"/>
        </w:tabs>
        <w:ind w:left="4740" w:hanging="420"/>
      </w:pPr>
      <w:rPr>
        <w:rFonts w:hint="default" w:ascii="Wingdings" w:hAnsi="Wingdings"/>
      </w:rPr>
    </w:lvl>
  </w:abstractNum>
  <w:abstractNum w:abstractNumId="17">
    <w:nsid w:val="57616FCA"/>
    <w:multiLevelType w:val="multilevel"/>
    <w:tmpl w:val="57616FCA"/>
    <w:lvl w:ilvl="0" w:tentative="0">
      <w:start w:val="1"/>
      <w:numFmt w:val="bullet"/>
      <w:lvlText w:val=""/>
      <w:lvlJc w:val="left"/>
      <w:pPr>
        <w:ind w:left="1078" w:hanging="420"/>
      </w:pPr>
      <w:rPr>
        <w:rFonts w:hint="default" w:ascii="Wingdings" w:hAnsi="Wingdings"/>
      </w:rPr>
    </w:lvl>
    <w:lvl w:ilvl="1" w:tentative="0">
      <w:start w:val="1"/>
      <w:numFmt w:val="bullet"/>
      <w:lvlText w:val=""/>
      <w:lvlJc w:val="left"/>
      <w:pPr>
        <w:ind w:left="1498" w:hanging="420"/>
      </w:pPr>
      <w:rPr>
        <w:rFonts w:hint="default" w:ascii="Wingdings" w:hAnsi="Wingdings"/>
      </w:rPr>
    </w:lvl>
    <w:lvl w:ilvl="2" w:tentative="0">
      <w:start w:val="1"/>
      <w:numFmt w:val="bullet"/>
      <w:lvlText w:val=""/>
      <w:lvlJc w:val="left"/>
      <w:pPr>
        <w:ind w:left="1918" w:hanging="420"/>
      </w:pPr>
      <w:rPr>
        <w:rFonts w:hint="default" w:ascii="Wingdings" w:hAnsi="Wingdings"/>
      </w:rPr>
    </w:lvl>
    <w:lvl w:ilvl="3" w:tentative="0">
      <w:start w:val="1"/>
      <w:numFmt w:val="bullet"/>
      <w:lvlText w:val=""/>
      <w:lvlJc w:val="left"/>
      <w:pPr>
        <w:ind w:left="2338" w:hanging="420"/>
      </w:pPr>
      <w:rPr>
        <w:rFonts w:hint="default" w:ascii="Wingdings" w:hAnsi="Wingdings"/>
      </w:rPr>
    </w:lvl>
    <w:lvl w:ilvl="4" w:tentative="0">
      <w:start w:val="1"/>
      <w:numFmt w:val="bullet"/>
      <w:lvlText w:val=""/>
      <w:lvlJc w:val="left"/>
      <w:pPr>
        <w:ind w:left="2758" w:hanging="420"/>
      </w:pPr>
      <w:rPr>
        <w:rFonts w:hint="default" w:ascii="Wingdings" w:hAnsi="Wingdings"/>
      </w:rPr>
    </w:lvl>
    <w:lvl w:ilvl="5" w:tentative="0">
      <w:start w:val="1"/>
      <w:numFmt w:val="bullet"/>
      <w:lvlText w:val=""/>
      <w:lvlJc w:val="left"/>
      <w:pPr>
        <w:ind w:left="3178" w:hanging="420"/>
      </w:pPr>
      <w:rPr>
        <w:rFonts w:hint="default" w:ascii="Wingdings" w:hAnsi="Wingdings"/>
      </w:rPr>
    </w:lvl>
    <w:lvl w:ilvl="6" w:tentative="0">
      <w:start w:val="1"/>
      <w:numFmt w:val="bullet"/>
      <w:lvlText w:val=""/>
      <w:lvlJc w:val="left"/>
      <w:pPr>
        <w:ind w:left="3598" w:hanging="420"/>
      </w:pPr>
      <w:rPr>
        <w:rFonts w:hint="default" w:ascii="Wingdings" w:hAnsi="Wingdings"/>
      </w:rPr>
    </w:lvl>
    <w:lvl w:ilvl="7" w:tentative="0">
      <w:start w:val="1"/>
      <w:numFmt w:val="bullet"/>
      <w:lvlText w:val=""/>
      <w:lvlJc w:val="left"/>
      <w:pPr>
        <w:ind w:left="4018" w:hanging="420"/>
      </w:pPr>
      <w:rPr>
        <w:rFonts w:hint="default" w:ascii="Wingdings" w:hAnsi="Wingdings"/>
      </w:rPr>
    </w:lvl>
    <w:lvl w:ilvl="8" w:tentative="0">
      <w:start w:val="1"/>
      <w:numFmt w:val="bullet"/>
      <w:lvlText w:val=""/>
      <w:lvlJc w:val="left"/>
      <w:pPr>
        <w:ind w:left="4438" w:hanging="420"/>
      </w:pPr>
      <w:rPr>
        <w:rFonts w:hint="default" w:ascii="Wingdings" w:hAnsi="Wingdings"/>
      </w:rPr>
    </w:lvl>
  </w:abstractNum>
  <w:abstractNum w:abstractNumId="18">
    <w:nsid w:val="5C5E5422"/>
    <w:multiLevelType w:val="multilevel"/>
    <w:tmpl w:val="5C5E5422"/>
    <w:lvl w:ilvl="0" w:tentative="0">
      <w:start w:val="1"/>
      <w:numFmt w:val="bullet"/>
      <w:lvlText w:val=""/>
      <w:lvlJc w:val="left"/>
      <w:pPr>
        <w:tabs>
          <w:tab w:val="left" w:pos="1380"/>
        </w:tabs>
        <w:ind w:left="1380" w:hanging="420"/>
      </w:pPr>
      <w:rPr>
        <w:rFonts w:hint="default" w:ascii="Wingdings" w:hAnsi="Wingdings"/>
      </w:rPr>
    </w:lvl>
    <w:lvl w:ilvl="1" w:tentative="0">
      <w:start w:val="1"/>
      <w:numFmt w:val="bullet"/>
      <w:lvlText w:val=""/>
      <w:lvlJc w:val="left"/>
      <w:pPr>
        <w:tabs>
          <w:tab w:val="left" w:pos="1800"/>
        </w:tabs>
        <w:ind w:left="1800" w:hanging="420"/>
      </w:pPr>
      <w:rPr>
        <w:rFonts w:hint="default" w:ascii="Wingdings" w:hAnsi="Wingdings"/>
      </w:rPr>
    </w:lvl>
    <w:lvl w:ilvl="2" w:tentative="0">
      <w:start w:val="1"/>
      <w:numFmt w:val="bullet"/>
      <w:lvlText w:val=""/>
      <w:lvlJc w:val="left"/>
      <w:pPr>
        <w:tabs>
          <w:tab w:val="left" w:pos="2220"/>
        </w:tabs>
        <w:ind w:left="2220" w:hanging="420"/>
      </w:pPr>
      <w:rPr>
        <w:rFonts w:hint="default" w:ascii="Wingdings" w:hAnsi="Wingdings"/>
      </w:rPr>
    </w:lvl>
    <w:lvl w:ilvl="3" w:tentative="0">
      <w:start w:val="1"/>
      <w:numFmt w:val="bullet"/>
      <w:lvlText w:val=""/>
      <w:lvlJc w:val="left"/>
      <w:pPr>
        <w:tabs>
          <w:tab w:val="left" w:pos="2640"/>
        </w:tabs>
        <w:ind w:left="2640" w:hanging="420"/>
      </w:pPr>
      <w:rPr>
        <w:rFonts w:hint="default" w:ascii="Wingdings" w:hAnsi="Wingdings"/>
      </w:rPr>
    </w:lvl>
    <w:lvl w:ilvl="4" w:tentative="0">
      <w:start w:val="1"/>
      <w:numFmt w:val="bullet"/>
      <w:lvlText w:val=""/>
      <w:lvlJc w:val="left"/>
      <w:pPr>
        <w:tabs>
          <w:tab w:val="left" w:pos="3060"/>
        </w:tabs>
        <w:ind w:left="3060" w:hanging="420"/>
      </w:pPr>
      <w:rPr>
        <w:rFonts w:hint="default" w:ascii="Wingdings" w:hAnsi="Wingdings"/>
      </w:rPr>
    </w:lvl>
    <w:lvl w:ilvl="5" w:tentative="0">
      <w:start w:val="1"/>
      <w:numFmt w:val="bullet"/>
      <w:lvlText w:val=""/>
      <w:lvlJc w:val="left"/>
      <w:pPr>
        <w:tabs>
          <w:tab w:val="left" w:pos="3480"/>
        </w:tabs>
        <w:ind w:left="3480" w:hanging="420"/>
      </w:pPr>
      <w:rPr>
        <w:rFonts w:hint="default" w:ascii="Wingdings" w:hAnsi="Wingdings"/>
      </w:rPr>
    </w:lvl>
    <w:lvl w:ilvl="6" w:tentative="0">
      <w:start w:val="1"/>
      <w:numFmt w:val="bullet"/>
      <w:lvlText w:val=""/>
      <w:lvlJc w:val="left"/>
      <w:pPr>
        <w:tabs>
          <w:tab w:val="left" w:pos="3900"/>
        </w:tabs>
        <w:ind w:left="3900" w:hanging="420"/>
      </w:pPr>
      <w:rPr>
        <w:rFonts w:hint="default" w:ascii="Wingdings" w:hAnsi="Wingdings"/>
      </w:rPr>
    </w:lvl>
    <w:lvl w:ilvl="7" w:tentative="0">
      <w:start w:val="1"/>
      <w:numFmt w:val="bullet"/>
      <w:lvlText w:val=""/>
      <w:lvlJc w:val="left"/>
      <w:pPr>
        <w:tabs>
          <w:tab w:val="left" w:pos="4320"/>
        </w:tabs>
        <w:ind w:left="4320" w:hanging="420"/>
      </w:pPr>
      <w:rPr>
        <w:rFonts w:hint="default" w:ascii="Wingdings" w:hAnsi="Wingdings"/>
      </w:rPr>
    </w:lvl>
    <w:lvl w:ilvl="8" w:tentative="0">
      <w:start w:val="1"/>
      <w:numFmt w:val="bullet"/>
      <w:lvlText w:val=""/>
      <w:lvlJc w:val="left"/>
      <w:pPr>
        <w:tabs>
          <w:tab w:val="left" w:pos="4740"/>
        </w:tabs>
        <w:ind w:left="4740" w:hanging="420"/>
      </w:pPr>
      <w:rPr>
        <w:rFonts w:hint="default" w:ascii="Wingdings" w:hAnsi="Wingdings"/>
      </w:rPr>
    </w:lvl>
  </w:abstractNum>
  <w:abstractNum w:abstractNumId="19">
    <w:nsid w:val="5F784B72"/>
    <w:multiLevelType w:val="multilevel"/>
    <w:tmpl w:val="5F784B72"/>
    <w:lvl w:ilvl="0" w:tentative="0">
      <w:start w:val="1"/>
      <w:numFmt w:val="bullet"/>
      <w:lvlText w:val=""/>
      <w:lvlJc w:val="left"/>
      <w:pPr>
        <w:tabs>
          <w:tab w:val="left" w:pos="900"/>
        </w:tabs>
        <w:ind w:left="900" w:hanging="420"/>
      </w:pPr>
      <w:rPr>
        <w:rFonts w:hint="default" w:ascii="Wingdings" w:hAnsi="Wingdings"/>
      </w:rPr>
    </w:lvl>
    <w:lvl w:ilvl="1" w:tentative="0">
      <w:start w:val="1"/>
      <w:numFmt w:val="decimal"/>
      <w:lvlText w:val="%2)"/>
      <w:lvlJc w:val="left"/>
      <w:pPr>
        <w:tabs>
          <w:tab w:val="left" w:pos="1320"/>
        </w:tabs>
        <w:ind w:left="1320" w:hanging="420"/>
      </w:pPr>
      <w:rPr>
        <w:rFonts w:hint="eastAsia"/>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20">
    <w:nsid w:val="686D7BC2"/>
    <w:multiLevelType w:val="multilevel"/>
    <w:tmpl w:val="686D7BC2"/>
    <w:lvl w:ilvl="0" w:tentative="0">
      <w:start w:val="1"/>
      <w:numFmt w:val="bullet"/>
      <w:lvlText w:val=""/>
      <w:lvlJc w:val="left"/>
      <w:pPr>
        <w:tabs>
          <w:tab w:val="left" w:pos="1380"/>
        </w:tabs>
        <w:ind w:left="1380" w:hanging="420"/>
      </w:pPr>
      <w:rPr>
        <w:rFonts w:hint="default" w:ascii="Wingdings" w:hAnsi="Wingdings"/>
      </w:rPr>
    </w:lvl>
    <w:lvl w:ilvl="1" w:tentative="0">
      <w:start w:val="1"/>
      <w:numFmt w:val="bullet"/>
      <w:lvlText w:val=""/>
      <w:lvlJc w:val="left"/>
      <w:pPr>
        <w:tabs>
          <w:tab w:val="left" w:pos="1800"/>
        </w:tabs>
        <w:ind w:left="1800" w:hanging="420"/>
      </w:pPr>
      <w:rPr>
        <w:rFonts w:hint="default" w:ascii="Wingdings" w:hAnsi="Wingdings"/>
      </w:rPr>
    </w:lvl>
    <w:lvl w:ilvl="2" w:tentative="0">
      <w:start w:val="1"/>
      <w:numFmt w:val="bullet"/>
      <w:lvlText w:val=""/>
      <w:lvlJc w:val="left"/>
      <w:pPr>
        <w:tabs>
          <w:tab w:val="left" w:pos="2220"/>
        </w:tabs>
        <w:ind w:left="2220" w:hanging="420"/>
      </w:pPr>
      <w:rPr>
        <w:rFonts w:hint="default" w:ascii="Wingdings" w:hAnsi="Wingdings"/>
      </w:rPr>
    </w:lvl>
    <w:lvl w:ilvl="3" w:tentative="0">
      <w:start w:val="1"/>
      <w:numFmt w:val="bullet"/>
      <w:lvlText w:val=""/>
      <w:lvlJc w:val="left"/>
      <w:pPr>
        <w:tabs>
          <w:tab w:val="left" w:pos="2640"/>
        </w:tabs>
        <w:ind w:left="2640" w:hanging="420"/>
      </w:pPr>
      <w:rPr>
        <w:rFonts w:hint="default" w:ascii="Wingdings" w:hAnsi="Wingdings"/>
      </w:rPr>
    </w:lvl>
    <w:lvl w:ilvl="4" w:tentative="0">
      <w:start w:val="1"/>
      <w:numFmt w:val="bullet"/>
      <w:lvlText w:val=""/>
      <w:lvlJc w:val="left"/>
      <w:pPr>
        <w:tabs>
          <w:tab w:val="left" w:pos="3060"/>
        </w:tabs>
        <w:ind w:left="3060" w:hanging="420"/>
      </w:pPr>
      <w:rPr>
        <w:rFonts w:hint="default" w:ascii="Wingdings" w:hAnsi="Wingdings"/>
      </w:rPr>
    </w:lvl>
    <w:lvl w:ilvl="5" w:tentative="0">
      <w:start w:val="1"/>
      <w:numFmt w:val="bullet"/>
      <w:lvlText w:val=""/>
      <w:lvlJc w:val="left"/>
      <w:pPr>
        <w:tabs>
          <w:tab w:val="left" w:pos="3480"/>
        </w:tabs>
        <w:ind w:left="3480" w:hanging="420"/>
      </w:pPr>
      <w:rPr>
        <w:rFonts w:hint="default" w:ascii="Wingdings" w:hAnsi="Wingdings"/>
      </w:rPr>
    </w:lvl>
    <w:lvl w:ilvl="6" w:tentative="0">
      <w:start w:val="1"/>
      <w:numFmt w:val="bullet"/>
      <w:lvlText w:val=""/>
      <w:lvlJc w:val="left"/>
      <w:pPr>
        <w:tabs>
          <w:tab w:val="left" w:pos="3900"/>
        </w:tabs>
        <w:ind w:left="3900" w:hanging="420"/>
      </w:pPr>
      <w:rPr>
        <w:rFonts w:hint="default" w:ascii="Wingdings" w:hAnsi="Wingdings"/>
      </w:rPr>
    </w:lvl>
    <w:lvl w:ilvl="7" w:tentative="0">
      <w:start w:val="1"/>
      <w:numFmt w:val="bullet"/>
      <w:lvlText w:val=""/>
      <w:lvlJc w:val="left"/>
      <w:pPr>
        <w:tabs>
          <w:tab w:val="left" w:pos="4320"/>
        </w:tabs>
        <w:ind w:left="4320" w:hanging="420"/>
      </w:pPr>
      <w:rPr>
        <w:rFonts w:hint="default" w:ascii="Wingdings" w:hAnsi="Wingdings"/>
      </w:rPr>
    </w:lvl>
    <w:lvl w:ilvl="8" w:tentative="0">
      <w:start w:val="1"/>
      <w:numFmt w:val="bullet"/>
      <w:lvlText w:val=""/>
      <w:lvlJc w:val="left"/>
      <w:pPr>
        <w:tabs>
          <w:tab w:val="left" w:pos="4740"/>
        </w:tabs>
        <w:ind w:left="4740" w:hanging="420"/>
      </w:pPr>
      <w:rPr>
        <w:rFonts w:hint="default" w:ascii="Wingdings" w:hAnsi="Wingdings"/>
      </w:rPr>
    </w:lvl>
  </w:abstractNum>
  <w:abstractNum w:abstractNumId="21">
    <w:nsid w:val="777F26FE"/>
    <w:multiLevelType w:val="multilevel"/>
    <w:tmpl w:val="777F26FE"/>
    <w:lvl w:ilvl="0" w:tentative="0">
      <w:start w:val="1"/>
      <w:numFmt w:val="bullet"/>
      <w:lvlText w:val=""/>
      <w:lvlJc w:val="left"/>
      <w:pPr>
        <w:tabs>
          <w:tab w:val="left" w:pos="1380"/>
        </w:tabs>
        <w:ind w:left="1380" w:hanging="420"/>
      </w:pPr>
      <w:rPr>
        <w:rFonts w:hint="default" w:ascii="Wingdings" w:hAnsi="Wingdings"/>
      </w:rPr>
    </w:lvl>
    <w:lvl w:ilvl="1" w:tentative="0">
      <w:start w:val="1"/>
      <w:numFmt w:val="bullet"/>
      <w:lvlText w:val=""/>
      <w:lvlJc w:val="left"/>
      <w:pPr>
        <w:tabs>
          <w:tab w:val="left" w:pos="1800"/>
        </w:tabs>
        <w:ind w:left="1800" w:hanging="420"/>
      </w:pPr>
      <w:rPr>
        <w:rFonts w:hint="default" w:ascii="Wingdings" w:hAnsi="Wingdings"/>
      </w:rPr>
    </w:lvl>
    <w:lvl w:ilvl="2" w:tentative="0">
      <w:start w:val="1"/>
      <w:numFmt w:val="bullet"/>
      <w:lvlText w:val=""/>
      <w:lvlJc w:val="left"/>
      <w:pPr>
        <w:tabs>
          <w:tab w:val="left" w:pos="2220"/>
        </w:tabs>
        <w:ind w:left="2220" w:hanging="420"/>
      </w:pPr>
      <w:rPr>
        <w:rFonts w:hint="default" w:ascii="Wingdings" w:hAnsi="Wingdings"/>
      </w:rPr>
    </w:lvl>
    <w:lvl w:ilvl="3" w:tentative="0">
      <w:start w:val="1"/>
      <w:numFmt w:val="bullet"/>
      <w:lvlText w:val=""/>
      <w:lvlJc w:val="left"/>
      <w:pPr>
        <w:tabs>
          <w:tab w:val="left" w:pos="2640"/>
        </w:tabs>
        <w:ind w:left="2640" w:hanging="420"/>
      </w:pPr>
      <w:rPr>
        <w:rFonts w:hint="default" w:ascii="Wingdings" w:hAnsi="Wingdings"/>
      </w:rPr>
    </w:lvl>
    <w:lvl w:ilvl="4" w:tentative="0">
      <w:start w:val="1"/>
      <w:numFmt w:val="bullet"/>
      <w:lvlText w:val=""/>
      <w:lvlJc w:val="left"/>
      <w:pPr>
        <w:tabs>
          <w:tab w:val="left" w:pos="3060"/>
        </w:tabs>
        <w:ind w:left="3060" w:hanging="420"/>
      </w:pPr>
      <w:rPr>
        <w:rFonts w:hint="default" w:ascii="Wingdings" w:hAnsi="Wingdings"/>
      </w:rPr>
    </w:lvl>
    <w:lvl w:ilvl="5" w:tentative="0">
      <w:start w:val="1"/>
      <w:numFmt w:val="bullet"/>
      <w:lvlText w:val=""/>
      <w:lvlJc w:val="left"/>
      <w:pPr>
        <w:tabs>
          <w:tab w:val="left" w:pos="3480"/>
        </w:tabs>
        <w:ind w:left="3480" w:hanging="420"/>
      </w:pPr>
      <w:rPr>
        <w:rFonts w:hint="default" w:ascii="Wingdings" w:hAnsi="Wingdings"/>
      </w:rPr>
    </w:lvl>
    <w:lvl w:ilvl="6" w:tentative="0">
      <w:start w:val="1"/>
      <w:numFmt w:val="bullet"/>
      <w:lvlText w:val=""/>
      <w:lvlJc w:val="left"/>
      <w:pPr>
        <w:tabs>
          <w:tab w:val="left" w:pos="3900"/>
        </w:tabs>
        <w:ind w:left="3900" w:hanging="420"/>
      </w:pPr>
      <w:rPr>
        <w:rFonts w:hint="default" w:ascii="Wingdings" w:hAnsi="Wingdings"/>
      </w:rPr>
    </w:lvl>
    <w:lvl w:ilvl="7" w:tentative="0">
      <w:start w:val="1"/>
      <w:numFmt w:val="bullet"/>
      <w:lvlText w:val=""/>
      <w:lvlJc w:val="left"/>
      <w:pPr>
        <w:tabs>
          <w:tab w:val="left" w:pos="4320"/>
        </w:tabs>
        <w:ind w:left="4320" w:hanging="420"/>
      </w:pPr>
      <w:rPr>
        <w:rFonts w:hint="default" w:ascii="Wingdings" w:hAnsi="Wingdings"/>
      </w:rPr>
    </w:lvl>
    <w:lvl w:ilvl="8" w:tentative="0">
      <w:start w:val="1"/>
      <w:numFmt w:val="bullet"/>
      <w:lvlText w:val=""/>
      <w:lvlJc w:val="left"/>
      <w:pPr>
        <w:tabs>
          <w:tab w:val="left" w:pos="4740"/>
        </w:tabs>
        <w:ind w:left="4740" w:hanging="420"/>
      </w:pPr>
      <w:rPr>
        <w:rFonts w:hint="default" w:ascii="Wingdings" w:hAnsi="Wingdings"/>
      </w:rPr>
    </w:lvl>
  </w:abstractNum>
  <w:abstractNum w:abstractNumId="22">
    <w:nsid w:val="7B414546"/>
    <w:multiLevelType w:val="multilevel"/>
    <w:tmpl w:val="7B414546"/>
    <w:lvl w:ilvl="0" w:tentative="0">
      <w:start w:val="1"/>
      <w:numFmt w:val="bullet"/>
      <w:lvlText w:val=""/>
      <w:lvlJc w:val="left"/>
      <w:pPr>
        <w:tabs>
          <w:tab w:val="left" w:pos="900"/>
        </w:tabs>
        <w:ind w:left="900" w:hanging="420"/>
      </w:pPr>
      <w:rPr>
        <w:rFonts w:hint="default" w:ascii="Wingdings" w:hAnsi="Wingdings"/>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num w:numId="1">
    <w:abstractNumId w:val="2"/>
  </w:num>
  <w:num w:numId="2">
    <w:abstractNumId w:val="14"/>
  </w:num>
  <w:num w:numId="3">
    <w:abstractNumId w:val="7"/>
  </w:num>
  <w:num w:numId="4">
    <w:abstractNumId w:val="20"/>
  </w:num>
  <w:num w:numId="5">
    <w:abstractNumId w:val="4"/>
  </w:num>
  <w:num w:numId="6">
    <w:abstractNumId w:val="16"/>
  </w:num>
  <w:num w:numId="7">
    <w:abstractNumId w:val="11"/>
  </w:num>
  <w:num w:numId="8">
    <w:abstractNumId w:val="21"/>
  </w:num>
  <w:num w:numId="9">
    <w:abstractNumId w:val="13"/>
  </w:num>
  <w:num w:numId="10">
    <w:abstractNumId w:val="18"/>
  </w:num>
  <w:num w:numId="11">
    <w:abstractNumId w:val="3"/>
  </w:num>
  <w:num w:numId="12">
    <w:abstractNumId w:val="15"/>
  </w:num>
  <w:num w:numId="13">
    <w:abstractNumId w:val="6"/>
  </w:num>
  <w:num w:numId="14">
    <w:abstractNumId w:val="19"/>
  </w:num>
  <w:num w:numId="15">
    <w:abstractNumId w:val="0"/>
  </w:num>
  <w:num w:numId="16">
    <w:abstractNumId w:val="5"/>
  </w:num>
  <w:num w:numId="17">
    <w:abstractNumId w:val="10"/>
  </w:num>
  <w:num w:numId="18">
    <w:abstractNumId w:val="9"/>
  </w:num>
  <w:num w:numId="19">
    <w:abstractNumId w:val="12"/>
  </w:num>
  <w:num w:numId="20">
    <w:abstractNumId w:val="8"/>
  </w:num>
  <w:num w:numId="21">
    <w:abstractNumId w:val="1"/>
  </w:num>
  <w:num w:numId="22">
    <w:abstractNumId w:val="22"/>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BC3B0D"/>
    <w:rsid w:val="01B12E58"/>
    <w:rsid w:val="01B70E77"/>
    <w:rsid w:val="07A0768E"/>
    <w:rsid w:val="080A5EBF"/>
    <w:rsid w:val="11231B83"/>
    <w:rsid w:val="216C6829"/>
    <w:rsid w:val="23772CF5"/>
    <w:rsid w:val="2A8906E1"/>
    <w:rsid w:val="2C3507E0"/>
    <w:rsid w:val="2D8212ED"/>
    <w:rsid w:val="35BC3B0D"/>
    <w:rsid w:val="37DC7124"/>
    <w:rsid w:val="38855EC9"/>
    <w:rsid w:val="3C502C92"/>
    <w:rsid w:val="3D7604D6"/>
    <w:rsid w:val="3E927592"/>
    <w:rsid w:val="463158E2"/>
    <w:rsid w:val="4ADB7BCB"/>
    <w:rsid w:val="4E982244"/>
    <w:rsid w:val="59171438"/>
    <w:rsid w:val="5BE719A9"/>
    <w:rsid w:val="6828218F"/>
    <w:rsid w:val="6966309D"/>
    <w:rsid w:val="6CAA62ED"/>
    <w:rsid w:val="6DD76CF5"/>
    <w:rsid w:val="74890514"/>
    <w:rsid w:val="74CC68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style>
  <w:style w:type="paragraph" w:styleId="4">
    <w:name w:val="Body Text"/>
    <w:basedOn w:val="1"/>
    <w:unhideWhenUsed/>
    <w:qFormat/>
    <w:uiPriority w:val="0"/>
    <w:pPr>
      <w:spacing w:after="120"/>
    </w:pPr>
  </w:style>
  <w:style w:type="paragraph" w:styleId="5">
    <w:name w:val="Body Text Indent"/>
    <w:basedOn w:val="1"/>
    <w:qFormat/>
    <w:uiPriority w:val="0"/>
    <w:pPr>
      <w:spacing w:line="360" w:lineRule="auto"/>
      <w:ind w:firstLine="570"/>
    </w:pPr>
    <w:rPr>
      <w:rFonts w:ascii="宋体" w:hAnsi="宋体"/>
      <w:sz w:val="28"/>
      <w:szCs w:val="24"/>
    </w:rPr>
  </w:style>
  <w:style w:type="paragraph" w:styleId="6">
    <w:name w:val="footer"/>
    <w:basedOn w:val="1"/>
    <w:qFormat/>
    <w:uiPriority w:val="99"/>
    <w:pPr>
      <w:tabs>
        <w:tab w:val="center" w:pos="4153"/>
        <w:tab w:val="right" w:pos="8306"/>
      </w:tabs>
      <w:snapToGrid w:val="0"/>
      <w:jc w:val="left"/>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customStyle="1" w:styleId="11">
    <w:name w:val="xqs-1.总则"/>
    <w:next w:val="1"/>
    <w:qFormat/>
    <w:uiPriority w:val="0"/>
    <w:pPr>
      <w:spacing w:line="360" w:lineRule="auto"/>
      <w:outlineLvl w:val="0"/>
    </w:pPr>
    <w:rPr>
      <w:rFonts w:ascii="Times New Roman" w:hAnsi="Times New Roman" w:eastAsia="宋体" w:cs="Times New Roman"/>
      <w:b/>
      <w:kern w:val="2"/>
      <w:sz w:val="28"/>
      <w:szCs w:val="21"/>
      <w:lang w:val="en-US" w:eastAsia="zh-CN" w:bidi="ar-SA"/>
    </w:rPr>
  </w:style>
  <w:style w:type="paragraph" w:customStyle="1" w:styleId="12">
    <w:name w:val="xqs-表内文字"/>
    <w:next w:val="1"/>
    <w:qFormat/>
    <w:uiPriority w:val="0"/>
    <w:rPr>
      <w:rFonts w:ascii="Times New Roman" w:hAnsi="Times New Roman"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42</Pages>
  <Words>1795</Words>
  <Characters>1902</Characters>
  <Lines>0</Lines>
  <Paragraphs>0</Paragraphs>
  <TotalTime>19</TotalTime>
  <ScaleCrop>false</ScaleCrop>
  <LinksUpToDate>false</LinksUpToDate>
  <CharactersWithSpaces>1902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2025-05-22T00:43:00Z</dcterms:created>
  <dc:creator>如鱼得水</dc:creator>
  <cp:lastModifiedBy>Administrator</cp:lastModifiedBy>
  <dcterms:modified xsi:type="dcterms:W3CDTF">2025-05-26T07:57:43Z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A395E092EDA140929A9EF7F4683D722E_13</vt:lpwstr>
  </property>
  <property fmtid="{D5CDD505-2E9C-101B-9397-08002B2CF9AE}" pid="4" name="KSOTemplateDocerSaveRecord">
    <vt:lpwstr>eyJoZGlkIjoiZjdhMzE5NGJjZjNhYzkzYWMwMWRmYWQ3ZGNmNTk0OTUiLCJ1c2VySWQiOiI4OTc1ODEzNDYifQ==</vt:lpwstr>
  </property>
</Properties>
</file>